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0E2567">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2CDA4CAF">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p>
    <w:p w14:paraId="68EDCA5C">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bookmarkStart w:id="0" w:name="_Hlk9544796"/>
      <w:r>
        <w:rPr>
          <w:rFonts w:hint="eastAsia" w:ascii="宋体" w:hAnsi="宋体" w:eastAsia="宋体"/>
          <w:b/>
          <w:bCs/>
          <w:sz w:val="52"/>
          <w:szCs w:val="52"/>
        </w:rPr>
        <w:t>竞争性磋商文件</w:t>
      </w:r>
    </w:p>
    <w:p w14:paraId="25598E2E">
      <w:pPr>
        <w:tabs>
          <w:tab w:val="left" w:pos="315"/>
          <w:tab w:val="left" w:pos="8820"/>
        </w:tabs>
        <w:spacing w:before="240" w:beforeLines="100" w:after="120" w:afterLines="50" w:line="500" w:lineRule="exact"/>
        <w:ind w:right="267" w:rightChars="127"/>
        <w:jc w:val="center"/>
        <w:rPr>
          <w:rFonts w:ascii="宋体" w:hAnsi="宋体" w:eastAsia="宋体"/>
          <w:b/>
          <w:bCs/>
          <w:sz w:val="52"/>
          <w:szCs w:val="52"/>
        </w:rPr>
      </w:pPr>
      <w:r>
        <w:rPr>
          <w:rFonts w:hint="eastAsia" w:ascii="宋体" w:hAnsi="宋体" w:eastAsia="宋体"/>
          <w:b/>
          <w:bCs/>
          <w:sz w:val="52"/>
          <w:szCs w:val="52"/>
        </w:rPr>
        <w:t>（服务类）</w:t>
      </w:r>
    </w:p>
    <w:bookmarkEnd w:id="0"/>
    <w:p w14:paraId="62A731EF">
      <w:pPr>
        <w:tabs>
          <w:tab w:val="left" w:pos="315"/>
          <w:tab w:val="left" w:pos="8820"/>
        </w:tabs>
        <w:spacing w:before="240" w:beforeLines="100" w:after="120" w:afterLines="50" w:line="500" w:lineRule="exact"/>
        <w:ind w:right="267" w:rightChars="127"/>
        <w:jc w:val="center"/>
        <w:rPr>
          <w:rFonts w:ascii="宋体" w:hAnsi="宋体" w:eastAsia="宋体"/>
          <w:bCs/>
          <w:sz w:val="44"/>
          <w:szCs w:val="44"/>
        </w:rPr>
      </w:pPr>
    </w:p>
    <w:p w14:paraId="7D357D8D">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5AB72108">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471885A8">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6CA07857">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0CFA64AC">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0BC55AEE">
      <w:pPr>
        <w:tabs>
          <w:tab w:val="left" w:pos="2410"/>
        </w:tabs>
        <w:autoSpaceDE w:val="0"/>
        <w:autoSpaceDN w:val="0"/>
        <w:adjustRightInd w:val="0"/>
        <w:snapToGrid w:val="0"/>
        <w:spacing w:line="360" w:lineRule="auto"/>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项目名称：</w:t>
      </w:r>
      <w:r>
        <w:rPr>
          <w:rFonts w:hint="eastAsia" w:ascii="宋体" w:hAnsi="宋体" w:eastAsia="宋体"/>
          <w:b/>
          <w:spacing w:val="20"/>
          <w:kern w:val="0"/>
          <w:sz w:val="32"/>
          <w:szCs w:val="32"/>
          <w:u w:val="single"/>
          <w:lang w:eastAsia="zh-CN"/>
        </w:rPr>
        <w:t>滁州学院校友信息管理系统升级改造项目</w:t>
      </w:r>
    </w:p>
    <w:p w14:paraId="44A72399">
      <w:pPr>
        <w:tabs>
          <w:tab w:val="left" w:pos="2410"/>
        </w:tabs>
        <w:autoSpaceDE w:val="0"/>
        <w:autoSpaceDN w:val="0"/>
        <w:adjustRightInd w:val="0"/>
        <w:snapToGrid w:val="0"/>
        <w:spacing w:line="360" w:lineRule="auto"/>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项目编号：</w:t>
      </w:r>
      <w:r>
        <w:rPr>
          <w:rFonts w:hint="eastAsia" w:ascii="宋体" w:hAnsi="宋体" w:eastAsia="宋体"/>
          <w:b/>
          <w:spacing w:val="20"/>
          <w:kern w:val="0"/>
          <w:sz w:val="32"/>
          <w:szCs w:val="32"/>
          <w:u w:val="single"/>
          <w:lang w:eastAsia="zh-CN"/>
        </w:rPr>
        <w:t>2025HBAFN00034</w:t>
      </w:r>
    </w:p>
    <w:p w14:paraId="4C3CCB6E">
      <w:pPr>
        <w:tabs>
          <w:tab w:val="left" w:pos="2410"/>
        </w:tabs>
        <w:autoSpaceDE w:val="0"/>
        <w:autoSpaceDN w:val="0"/>
        <w:adjustRightInd w:val="0"/>
        <w:snapToGrid w:val="0"/>
        <w:spacing w:line="360" w:lineRule="auto"/>
        <w:rPr>
          <w:rFonts w:hint="eastAsia" w:ascii="宋体" w:hAnsi="宋体" w:eastAsia="宋体"/>
          <w:b/>
          <w:spacing w:val="20"/>
          <w:kern w:val="0"/>
          <w:sz w:val="32"/>
          <w:szCs w:val="32"/>
          <w:lang w:eastAsia="zh-CN"/>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lang w:eastAsia="zh-CN"/>
        </w:rPr>
        <w:t>滁州学院教育发展基金会</w:t>
      </w:r>
    </w:p>
    <w:p w14:paraId="272AE4DB">
      <w:pPr>
        <w:tabs>
          <w:tab w:val="left" w:pos="2410"/>
        </w:tabs>
        <w:autoSpaceDE w:val="0"/>
        <w:autoSpaceDN w:val="0"/>
        <w:adjustRightInd w:val="0"/>
        <w:snapToGrid w:val="0"/>
        <w:spacing w:line="360" w:lineRule="auto"/>
        <w:rPr>
          <w:rFonts w:ascii="宋体" w:hAnsi="宋体" w:eastAsia="宋体"/>
          <w:b/>
          <w:spacing w:val="20"/>
          <w:kern w:val="0"/>
          <w:sz w:val="32"/>
          <w:szCs w:val="32"/>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安徽公共资源交易集团项目管理有限公司</w:t>
      </w:r>
    </w:p>
    <w:p w14:paraId="5C38A9D7">
      <w:pPr>
        <w:tabs>
          <w:tab w:val="left" w:pos="315"/>
          <w:tab w:val="left" w:pos="8820"/>
        </w:tabs>
        <w:spacing w:before="240" w:beforeLines="100" w:after="120" w:afterLines="50" w:line="500" w:lineRule="exact"/>
        <w:ind w:right="267" w:rightChars="127"/>
        <w:jc w:val="center"/>
        <w:rPr>
          <w:rFonts w:ascii="宋体" w:hAnsi="宋体" w:eastAsia="宋体"/>
          <w:b/>
          <w:bCs/>
          <w:sz w:val="44"/>
          <w:szCs w:val="44"/>
        </w:rPr>
      </w:pPr>
    </w:p>
    <w:p w14:paraId="4AA6D8C1">
      <w:pPr>
        <w:tabs>
          <w:tab w:val="left" w:pos="2410"/>
        </w:tabs>
        <w:autoSpaceDE w:val="0"/>
        <w:autoSpaceDN w:val="0"/>
        <w:adjustRightInd w:val="0"/>
        <w:snapToGrid w:val="0"/>
        <w:spacing w:line="360" w:lineRule="auto"/>
        <w:jc w:val="center"/>
        <w:rPr>
          <w:rFonts w:ascii="宋体" w:hAnsi="宋体" w:eastAsia="宋体"/>
          <w:b/>
          <w:sz w:val="36"/>
        </w:rPr>
      </w:pPr>
      <w:r>
        <w:rPr>
          <w:rFonts w:hint="eastAsia" w:ascii="宋体" w:hAnsi="宋体" w:eastAsia="宋体"/>
          <w:b/>
          <w:sz w:val="36"/>
          <w:u w:val="single"/>
          <w:lang w:val="en-US" w:eastAsia="zh-CN"/>
        </w:rPr>
        <w:t>2025</w:t>
      </w:r>
      <w:r>
        <w:rPr>
          <w:rFonts w:hint="eastAsia" w:ascii="宋体" w:hAnsi="宋体" w:eastAsia="宋体"/>
          <w:b/>
          <w:sz w:val="36"/>
        </w:rPr>
        <w:t>年</w:t>
      </w:r>
      <w:r>
        <w:rPr>
          <w:rFonts w:hint="eastAsia" w:ascii="宋体" w:hAnsi="宋体" w:eastAsia="宋体"/>
          <w:b/>
          <w:sz w:val="36"/>
          <w:u w:val="single"/>
          <w:lang w:val="en-US" w:eastAsia="zh-CN"/>
        </w:rPr>
        <w:t>1</w:t>
      </w:r>
      <w:r>
        <w:rPr>
          <w:rFonts w:hint="eastAsia" w:ascii="宋体" w:hAnsi="宋体" w:eastAsia="宋体"/>
          <w:b/>
          <w:sz w:val="36"/>
        </w:rPr>
        <w:t>月</w:t>
      </w:r>
      <w:r>
        <w:rPr>
          <w:rFonts w:ascii="宋体" w:hAnsi="宋体" w:eastAsia="宋体"/>
          <w:b/>
          <w:sz w:val="36"/>
        </w:rPr>
        <w:br w:type="page"/>
      </w:r>
    </w:p>
    <w:p w14:paraId="0EB07908">
      <w:pPr>
        <w:tabs>
          <w:tab w:val="left" w:pos="2410"/>
        </w:tabs>
        <w:autoSpaceDE w:val="0"/>
        <w:autoSpaceDN w:val="0"/>
        <w:adjustRightInd w:val="0"/>
        <w:snapToGrid w:val="0"/>
        <w:spacing w:line="360" w:lineRule="auto"/>
        <w:jc w:val="center"/>
        <w:rPr>
          <w:rFonts w:ascii="宋体" w:hAnsi="宋体" w:eastAsia="宋体"/>
          <w:b/>
          <w:sz w:val="28"/>
        </w:rPr>
      </w:pPr>
      <w:r>
        <w:rPr>
          <w:rFonts w:hint="eastAsia" w:ascii="宋体" w:hAnsi="宋体" w:eastAsia="宋体"/>
          <w:b/>
          <w:sz w:val="28"/>
        </w:rPr>
        <w:t>目  录</w:t>
      </w:r>
    </w:p>
    <w:p w14:paraId="133246E8">
      <w:pPr>
        <w:tabs>
          <w:tab w:val="left" w:pos="2410"/>
        </w:tabs>
        <w:autoSpaceDE w:val="0"/>
        <w:autoSpaceDN w:val="0"/>
        <w:adjustRightInd w:val="0"/>
        <w:snapToGrid w:val="0"/>
        <w:spacing w:line="360" w:lineRule="auto"/>
        <w:jc w:val="center"/>
        <w:rPr>
          <w:rFonts w:ascii="宋体" w:hAnsi="宋体" w:eastAsia="宋体"/>
          <w:b/>
          <w:sz w:val="28"/>
        </w:rPr>
      </w:pPr>
    </w:p>
    <w:p w14:paraId="4619A73A">
      <w:pPr>
        <w:pStyle w:val="15"/>
        <w:tabs>
          <w:tab w:val="right" w:leader="dot" w:pos="8869"/>
        </w:tabs>
      </w:pPr>
      <w:r>
        <w:rPr>
          <w:rFonts w:asciiTheme="minorEastAsia" w:hAnsiTheme="minorEastAsia"/>
          <w:b/>
          <w:sz w:val="24"/>
          <w:szCs w:val="24"/>
        </w:rPr>
        <w:fldChar w:fldCharType="begin"/>
      </w:r>
      <w:r>
        <w:rPr>
          <w:rFonts w:asciiTheme="minorEastAsia" w:hAnsiTheme="minorEastAsia"/>
          <w:b/>
          <w:sz w:val="24"/>
          <w:szCs w:val="24"/>
        </w:rPr>
        <w:instrText xml:space="preserve"> </w:instrText>
      </w:r>
      <w:r>
        <w:rPr>
          <w:rFonts w:hint="eastAsia" w:asciiTheme="minorEastAsia" w:hAnsiTheme="minorEastAsia"/>
          <w:b/>
          <w:sz w:val="24"/>
          <w:szCs w:val="24"/>
        </w:rPr>
        <w:instrText xml:space="preserve">TOC \o "1-2" \h \z \u</w:instrText>
      </w:r>
      <w:r>
        <w:rPr>
          <w:rFonts w:asciiTheme="minorEastAsia" w:hAnsiTheme="minorEastAsia"/>
          <w:b/>
          <w:sz w:val="24"/>
          <w:szCs w:val="24"/>
        </w:rPr>
        <w:instrText xml:space="preserve"> </w:instrText>
      </w:r>
      <w:r>
        <w:rPr>
          <w:rFonts w:asciiTheme="minorEastAsia" w:hAnsiTheme="minorEastAsia"/>
          <w:b/>
          <w:sz w:val="24"/>
          <w:szCs w:val="24"/>
        </w:rPr>
        <w:fldChar w:fldCharType="separate"/>
      </w:r>
      <w:r>
        <w:rPr>
          <w:rFonts w:asciiTheme="minorEastAsia" w:hAnsiTheme="minorEastAsia"/>
          <w:szCs w:val="24"/>
        </w:rPr>
        <w:fldChar w:fldCharType="begin"/>
      </w:r>
      <w:r>
        <w:rPr>
          <w:rFonts w:asciiTheme="minorEastAsia" w:hAnsiTheme="minorEastAsia"/>
          <w:szCs w:val="24"/>
        </w:rPr>
        <w:instrText xml:space="preserve"> HYPERLINK \l _Toc10009 </w:instrText>
      </w:r>
      <w:r>
        <w:rPr>
          <w:rFonts w:asciiTheme="minorEastAsia" w:hAnsiTheme="minorEastAsia"/>
          <w:szCs w:val="24"/>
        </w:rPr>
        <w:fldChar w:fldCharType="separate"/>
      </w:r>
      <w:r>
        <w:rPr>
          <w:rFonts w:hint="eastAsia" w:asciiTheme="minorEastAsia" w:hAnsiTheme="minorEastAsia" w:eastAsiaTheme="minorEastAsia"/>
        </w:rPr>
        <w:t xml:space="preserve">第一章 </w:t>
      </w:r>
      <w:r>
        <w:rPr>
          <w:rFonts w:asciiTheme="minorEastAsia" w:hAnsiTheme="minorEastAsia" w:eastAsiaTheme="minorEastAsia"/>
        </w:rPr>
        <w:t xml:space="preserve"> </w:t>
      </w:r>
      <w:r>
        <w:rPr>
          <w:rFonts w:hint="eastAsia" w:asciiTheme="minorEastAsia" w:hAnsiTheme="minorEastAsia" w:eastAsiaTheme="minorEastAsia"/>
        </w:rPr>
        <w:t>磋商邀请</w:t>
      </w:r>
      <w:r>
        <w:tab/>
      </w:r>
      <w:r>
        <w:fldChar w:fldCharType="begin"/>
      </w:r>
      <w:r>
        <w:instrText xml:space="preserve"> PAGEREF _Toc10009 \h </w:instrText>
      </w:r>
      <w:r>
        <w:fldChar w:fldCharType="separate"/>
      </w:r>
      <w:r>
        <w:t>1</w:t>
      </w:r>
      <w:r>
        <w:fldChar w:fldCharType="end"/>
      </w:r>
      <w:r>
        <w:rPr>
          <w:rFonts w:asciiTheme="minorEastAsia" w:hAnsiTheme="minorEastAsia"/>
          <w:szCs w:val="24"/>
        </w:rPr>
        <w:fldChar w:fldCharType="end"/>
      </w:r>
    </w:p>
    <w:p w14:paraId="6EA699E5">
      <w:pPr>
        <w:pStyle w:val="15"/>
        <w:tabs>
          <w:tab w:val="right" w:leader="dot" w:pos="8869"/>
        </w:tabs>
      </w:pPr>
      <w:r>
        <w:rPr>
          <w:rFonts w:asciiTheme="minorEastAsia" w:hAnsiTheme="minorEastAsia"/>
          <w:szCs w:val="24"/>
        </w:rPr>
        <w:fldChar w:fldCharType="begin"/>
      </w:r>
      <w:r>
        <w:rPr>
          <w:rFonts w:asciiTheme="minorEastAsia" w:hAnsiTheme="minorEastAsia"/>
          <w:szCs w:val="24"/>
        </w:rPr>
        <w:instrText xml:space="preserve"> HYPERLINK \l _Toc27554 </w:instrText>
      </w:r>
      <w:r>
        <w:rPr>
          <w:rFonts w:asciiTheme="minorEastAsia" w:hAnsiTheme="minorEastAsia"/>
          <w:szCs w:val="24"/>
        </w:rPr>
        <w:fldChar w:fldCharType="separate"/>
      </w:r>
      <w:r>
        <w:rPr>
          <w:rFonts w:hint="eastAsia" w:asciiTheme="minorEastAsia" w:hAnsiTheme="minorEastAsia" w:eastAsiaTheme="minorEastAsia"/>
        </w:rPr>
        <w:t>第二章</w:t>
      </w:r>
      <w:r>
        <w:rPr>
          <w:rFonts w:asciiTheme="minorEastAsia" w:hAnsiTheme="minorEastAsia" w:eastAsiaTheme="minorEastAsia"/>
        </w:rPr>
        <w:t xml:space="preserve"> </w:t>
      </w:r>
      <w:r>
        <w:rPr>
          <w:rFonts w:hint="eastAsia" w:asciiTheme="minorEastAsia" w:hAnsiTheme="minorEastAsia" w:eastAsiaTheme="minorEastAsia"/>
        </w:rPr>
        <w:t xml:space="preserve"> 供应商</w:t>
      </w:r>
      <w:r>
        <w:rPr>
          <w:rFonts w:asciiTheme="minorEastAsia" w:hAnsiTheme="minorEastAsia" w:eastAsiaTheme="minorEastAsia"/>
        </w:rPr>
        <w:t>须知</w:t>
      </w:r>
      <w:r>
        <w:tab/>
      </w:r>
      <w:r>
        <w:fldChar w:fldCharType="begin"/>
      </w:r>
      <w:r>
        <w:instrText xml:space="preserve"> PAGEREF _Toc27554 \h </w:instrText>
      </w:r>
      <w:r>
        <w:fldChar w:fldCharType="separate"/>
      </w:r>
      <w:r>
        <w:t>3</w:t>
      </w:r>
      <w:r>
        <w:fldChar w:fldCharType="end"/>
      </w:r>
      <w:r>
        <w:rPr>
          <w:rFonts w:asciiTheme="minorEastAsia" w:hAnsiTheme="minorEastAsia"/>
          <w:szCs w:val="24"/>
        </w:rPr>
        <w:fldChar w:fldCharType="end"/>
      </w:r>
    </w:p>
    <w:p w14:paraId="7E79A13E">
      <w:pPr>
        <w:pStyle w:val="15"/>
        <w:tabs>
          <w:tab w:val="right" w:leader="dot" w:pos="8869"/>
        </w:tabs>
      </w:pPr>
      <w:r>
        <w:rPr>
          <w:rFonts w:asciiTheme="minorEastAsia" w:hAnsiTheme="minorEastAsia"/>
          <w:szCs w:val="24"/>
        </w:rPr>
        <w:fldChar w:fldCharType="begin"/>
      </w:r>
      <w:r>
        <w:rPr>
          <w:rFonts w:asciiTheme="minorEastAsia" w:hAnsiTheme="minorEastAsia"/>
          <w:szCs w:val="24"/>
        </w:rPr>
        <w:instrText xml:space="preserve"> HYPERLINK \l _Toc8041 </w:instrText>
      </w:r>
      <w:r>
        <w:rPr>
          <w:rFonts w:asciiTheme="minorEastAsia" w:hAnsiTheme="minorEastAsia"/>
          <w:szCs w:val="24"/>
        </w:rPr>
        <w:fldChar w:fldCharType="separate"/>
      </w:r>
      <w:r>
        <w:rPr>
          <w:rFonts w:hint="eastAsia" w:asciiTheme="minorEastAsia" w:hAnsiTheme="minorEastAsia" w:eastAsiaTheme="minorEastAsia"/>
        </w:rPr>
        <w:t>第三章  采购需求</w:t>
      </w:r>
      <w:r>
        <w:tab/>
      </w:r>
      <w:r>
        <w:fldChar w:fldCharType="begin"/>
      </w:r>
      <w:r>
        <w:instrText xml:space="preserve"> PAGEREF _Toc8041 \h </w:instrText>
      </w:r>
      <w:r>
        <w:fldChar w:fldCharType="separate"/>
      </w:r>
      <w:r>
        <w:t>20</w:t>
      </w:r>
      <w:r>
        <w:fldChar w:fldCharType="end"/>
      </w:r>
      <w:r>
        <w:rPr>
          <w:rFonts w:asciiTheme="minorEastAsia" w:hAnsiTheme="minorEastAsia"/>
          <w:szCs w:val="24"/>
        </w:rPr>
        <w:fldChar w:fldCharType="end"/>
      </w:r>
    </w:p>
    <w:p w14:paraId="78F4DC4E">
      <w:pPr>
        <w:pStyle w:val="15"/>
        <w:tabs>
          <w:tab w:val="right" w:leader="dot" w:pos="8869"/>
        </w:tabs>
      </w:pPr>
      <w:r>
        <w:rPr>
          <w:rFonts w:asciiTheme="minorEastAsia" w:hAnsiTheme="minorEastAsia"/>
          <w:szCs w:val="24"/>
        </w:rPr>
        <w:fldChar w:fldCharType="begin"/>
      </w:r>
      <w:r>
        <w:rPr>
          <w:rFonts w:asciiTheme="minorEastAsia" w:hAnsiTheme="minorEastAsia"/>
          <w:szCs w:val="24"/>
        </w:rPr>
        <w:instrText xml:space="preserve"> HYPERLINK \l _Toc8381 </w:instrText>
      </w:r>
      <w:r>
        <w:rPr>
          <w:rFonts w:asciiTheme="minorEastAsia" w:hAnsiTheme="minorEastAsia"/>
          <w:szCs w:val="24"/>
        </w:rPr>
        <w:fldChar w:fldCharType="separate"/>
      </w:r>
      <w:r>
        <w:rPr>
          <w:rFonts w:hint="eastAsia" w:asciiTheme="minorEastAsia" w:hAnsiTheme="minorEastAsia" w:eastAsiaTheme="minorEastAsia"/>
        </w:rPr>
        <w:t>第四章  评审方法和标准</w:t>
      </w:r>
      <w:r>
        <w:tab/>
      </w:r>
      <w:r>
        <w:fldChar w:fldCharType="begin"/>
      </w:r>
      <w:r>
        <w:instrText xml:space="preserve"> PAGEREF _Toc8381 \h </w:instrText>
      </w:r>
      <w:r>
        <w:fldChar w:fldCharType="separate"/>
      </w:r>
      <w:r>
        <w:t>21</w:t>
      </w:r>
      <w:r>
        <w:fldChar w:fldCharType="end"/>
      </w:r>
      <w:r>
        <w:rPr>
          <w:rFonts w:asciiTheme="minorEastAsia" w:hAnsiTheme="minorEastAsia"/>
          <w:szCs w:val="24"/>
        </w:rPr>
        <w:fldChar w:fldCharType="end"/>
      </w:r>
    </w:p>
    <w:p w14:paraId="382B2B18">
      <w:pPr>
        <w:pStyle w:val="15"/>
        <w:tabs>
          <w:tab w:val="right" w:leader="dot" w:pos="8869"/>
        </w:tabs>
      </w:pPr>
      <w:r>
        <w:rPr>
          <w:rFonts w:asciiTheme="minorEastAsia" w:hAnsiTheme="minorEastAsia"/>
          <w:szCs w:val="24"/>
        </w:rPr>
        <w:fldChar w:fldCharType="begin"/>
      </w:r>
      <w:r>
        <w:rPr>
          <w:rFonts w:asciiTheme="minorEastAsia" w:hAnsiTheme="minorEastAsia"/>
          <w:szCs w:val="24"/>
        </w:rPr>
        <w:instrText xml:space="preserve"> HYPERLINK \l _Toc23589 </w:instrText>
      </w:r>
      <w:r>
        <w:rPr>
          <w:rFonts w:asciiTheme="minorEastAsia" w:hAnsiTheme="minorEastAsia"/>
          <w:szCs w:val="24"/>
        </w:rPr>
        <w:fldChar w:fldCharType="separate"/>
      </w:r>
      <w:r>
        <w:rPr>
          <w:rFonts w:hint="eastAsia" w:asciiTheme="minorEastAsia" w:hAnsiTheme="minorEastAsia" w:eastAsiaTheme="minorEastAsia"/>
        </w:rPr>
        <w:t xml:space="preserve">第五章  </w:t>
      </w:r>
      <w:r>
        <w:rPr>
          <w:rFonts w:asciiTheme="minorEastAsia" w:hAnsiTheme="minorEastAsia" w:eastAsiaTheme="minorEastAsia"/>
        </w:rPr>
        <w:t>采购合同</w:t>
      </w:r>
      <w:r>
        <w:tab/>
      </w:r>
      <w:r>
        <w:fldChar w:fldCharType="begin"/>
      </w:r>
      <w:r>
        <w:instrText xml:space="preserve"> PAGEREF _Toc23589 \h </w:instrText>
      </w:r>
      <w:r>
        <w:fldChar w:fldCharType="separate"/>
      </w:r>
      <w:r>
        <w:t>24</w:t>
      </w:r>
      <w:r>
        <w:fldChar w:fldCharType="end"/>
      </w:r>
      <w:r>
        <w:rPr>
          <w:rFonts w:asciiTheme="minorEastAsia" w:hAnsiTheme="minorEastAsia"/>
          <w:szCs w:val="24"/>
        </w:rPr>
        <w:fldChar w:fldCharType="end"/>
      </w:r>
    </w:p>
    <w:p w14:paraId="4C0D6821">
      <w:pPr>
        <w:pStyle w:val="15"/>
        <w:tabs>
          <w:tab w:val="right" w:leader="dot" w:pos="8869"/>
        </w:tabs>
      </w:pPr>
      <w:r>
        <w:rPr>
          <w:rFonts w:asciiTheme="minorEastAsia" w:hAnsiTheme="minorEastAsia"/>
          <w:szCs w:val="24"/>
        </w:rPr>
        <w:fldChar w:fldCharType="begin"/>
      </w:r>
      <w:r>
        <w:rPr>
          <w:rFonts w:asciiTheme="minorEastAsia" w:hAnsiTheme="minorEastAsia"/>
          <w:szCs w:val="24"/>
        </w:rPr>
        <w:instrText xml:space="preserve"> HYPERLINK \l _Toc24974 </w:instrText>
      </w:r>
      <w:r>
        <w:rPr>
          <w:rFonts w:asciiTheme="minorEastAsia" w:hAnsiTheme="minorEastAsia"/>
          <w:szCs w:val="24"/>
        </w:rPr>
        <w:fldChar w:fldCharType="separate"/>
      </w:r>
      <w:r>
        <w:rPr>
          <w:rFonts w:hint="eastAsia" w:asciiTheme="minorEastAsia" w:hAnsiTheme="minorEastAsia" w:eastAsiaTheme="minorEastAsia"/>
        </w:rPr>
        <w:t>第六章  响应文件格式</w:t>
      </w:r>
      <w:r>
        <w:tab/>
      </w:r>
      <w:r>
        <w:fldChar w:fldCharType="begin"/>
      </w:r>
      <w:r>
        <w:instrText xml:space="preserve"> PAGEREF _Toc24974 \h </w:instrText>
      </w:r>
      <w:r>
        <w:fldChar w:fldCharType="separate"/>
      </w:r>
      <w:r>
        <w:t>33</w:t>
      </w:r>
      <w:r>
        <w:fldChar w:fldCharType="end"/>
      </w:r>
      <w:r>
        <w:rPr>
          <w:rFonts w:asciiTheme="minorEastAsia" w:hAnsiTheme="minorEastAsia"/>
          <w:szCs w:val="24"/>
        </w:rPr>
        <w:fldChar w:fldCharType="end"/>
      </w:r>
    </w:p>
    <w:p w14:paraId="0D3337AC">
      <w:pPr>
        <w:pStyle w:val="16"/>
        <w:tabs>
          <w:tab w:val="right" w:leader="dot" w:pos="8296"/>
        </w:tabs>
        <w:rPr>
          <w:rFonts w:asciiTheme="minorEastAsia" w:hAnsiTheme="minorEastAsia"/>
          <w:b/>
          <w:sz w:val="32"/>
        </w:rPr>
      </w:pPr>
      <w:r>
        <w:rPr>
          <w:rFonts w:asciiTheme="minorEastAsia" w:hAnsiTheme="minorEastAsia"/>
          <w:szCs w:val="24"/>
        </w:rPr>
        <w:fldChar w:fldCharType="end"/>
      </w:r>
    </w:p>
    <w:p w14:paraId="5DB341F9">
      <w:pPr>
        <w:spacing w:line="360" w:lineRule="auto"/>
        <w:jc w:val="center"/>
        <w:outlineLvl w:val="1"/>
        <w:rPr>
          <w:rFonts w:asciiTheme="minorEastAsia" w:hAnsiTheme="minorEastAsia" w:eastAsiaTheme="minorEastAsia"/>
          <w:b/>
          <w:sz w:val="28"/>
        </w:rPr>
        <w:sectPr>
          <w:headerReference r:id="rId3" w:type="default"/>
          <w:footerReference r:id="rId4" w:type="default"/>
          <w:pgSz w:w="11907" w:h="16840"/>
          <w:pgMar w:top="1440" w:right="1519" w:bottom="1440" w:left="1519" w:header="851" w:footer="992" w:gutter="0"/>
          <w:cols w:space="720" w:num="1"/>
          <w:docGrid w:linePitch="462" w:charSpace="0"/>
        </w:sectPr>
      </w:pPr>
    </w:p>
    <w:p w14:paraId="1B37ACE7">
      <w:pPr>
        <w:spacing w:line="360" w:lineRule="auto"/>
        <w:jc w:val="center"/>
        <w:outlineLvl w:val="0"/>
        <w:rPr>
          <w:rFonts w:asciiTheme="minorEastAsia" w:hAnsiTheme="minorEastAsia" w:eastAsiaTheme="minorEastAsia"/>
          <w:b/>
          <w:sz w:val="28"/>
        </w:rPr>
      </w:pPr>
      <w:bookmarkStart w:id="1" w:name="_Toc10009"/>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磋商邀请</w:t>
      </w:r>
      <w:bookmarkEnd w:id="1"/>
    </w:p>
    <w:p w14:paraId="08E8A78A">
      <w:pPr>
        <w:spacing w:line="360" w:lineRule="auto"/>
        <w:ind w:firstLine="435"/>
        <w:outlineLvl w:val="1"/>
        <w:rPr>
          <w:rFonts w:ascii="宋体" w:hAnsi="宋体" w:eastAsia="宋体"/>
          <w:b/>
          <w:bCs/>
          <w:sz w:val="24"/>
          <w:szCs w:val="18"/>
        </w:rPr>
      </w:pPr>
      <w:bookmarkStart w:id="2" w:name="_Toc11631"/>
      <w:r>
        <w:rPr>
          <w:rFonts w:hint="eastAsia" w:ascii="宋体" w:hAnsi="宋体" w:eastAsia="宋体"/>
          <w:b/>
          <w:bCs/>
          <w:sz w:val="24"/>
          <w:szCs w:val="18"/>
        </w:rPr>
        <w:t>一、项目名称及内容</w:t>
      </w:r>
      <w:bookmarkEnd w:id="2"/>
    </w:p>
    <w:p w14:paraId="4E11C208">
      <w:pPr>
        <w:autoSpaceDE w:val="0"/>
        <w:autoSpaceDN w:val="0"/>
        <w:adjustRightInd w:val="0"/>
        <w:spacing w:line="360" w:lineRule="auto"/>
        <w:ind w:firstLine="436" w:firstLineChars="182"/>
        <w:jc w:val="left"/>
        <w:rPr>
          <w:rFonts w:hint="eastAsia" w:ascii="宋体" w:hAnsi="宋体" w:eastAsia="宋体"/>
          <w:sz w:val="24"/>
          <w:szCs w:val="18"/>
          <w:lang w:eastAsia="zh-CN"/>
        </w:rPr>
      </w:pPr>
      <w:r>
        <w:rPr>
          <w:rFonts w:hint="eastAsia" w:ascii="宋体" w:hAnsi="宋体" w:eastAsia="宋体"/>
          <w:sz w:val="24"/>
          <w:szCs w:val="18"/>
        </w:rPr>
        <w:t>1.项目编号：</w:t>
      </w:r>
      <w:r>
        <w:rPr>
          <w:rFonts w:hint="eastAsia" w:ascii="宋体" w:hAnsi="宋体" w:eastAsia="宋体"/>
          <w:sz w:val="24"/>
          <w:szCs w:val="18"/>
          <w:u w:val="single"/>
          <w:lang w:eastAsia="zh-CN"/>
        </w:rPr>
        <w:t>2025HBAFN00034</w:t>
      </w:r>
    </w:p>
    <w:p w14:paraId="0CBC769F">
      <w:pPr>
        <w:autoSpaceDE w:val="0"/>
        <w:autoSpaceDN w:val="0"/>
        <w:adjustRightInd w:val="0"/>
        <w:spacing w:line="360" w:lineRule="auto"/>
        <w:ind w:firstLine="436" w:firstLineChars="182"/>
        <w:jc w:val="left"/>
        <w:rPr>
          <w:rFonts w:hint="eastAsia" w:ascii="宋体" w:hAnsi="宋体" w:eastAsia="宋体"/>
          <w:sz w:val="24"/>
          <w:szCs w:val="18"/>
          <w:lang w:eastAsia="zh-CN"/>
        </w:rPr>
      </w:pPr>
      <w:r>
        <w:rPr>
          <w:rFonts w:hint="eastAsia" w:ascii="宋体" w:hAnsi="宋体" w:eastAsia="宋体"/>
          <w:sz w:val="24"/>
          <w:szCs w:val="18"/>
        </w:rPr>
        <w:t>2.项目名称：</w:t>
      </w:r>
      <w:r>
        <w:rPr>
          <w:rFonts w:hint="eastAsia" w:ascii="宋体" w:hAnsi="宋体" w:eastAsia="宋体"/>
          <w:sz w:val="24"/>
          <w:szCs w:val="18"/>
          <w:u w:val="single"/>
          <w:lang w:eastAsia="zh-CN"/>
        </w:rPr>
        <w:t>滁州学院校友信息管理系统升级改造项目</w:t>
      </w:r>
    </w:p>
    <w:p w14:paraId="14A8FA04">
      <w:pPr>
        <w:autoSpaceDE w:val="0"/>
        <w:autoSpaceDN w:val="0"/>
        <w:adjustRightInd w:val="0"/>
        <w:spacing w:line="360" w:lineRule="auto"/>
        <w:ind w:firstLine="436" w:firstLineChars="182"/>
        <w:jc w:val="left"/>
        <w:rPr>
          <w:rFonts w:hint="default" w:ascii="宋体" w:hAnsi="宋体" w:eastAsia="宋体"/>
          <w:sz w:val="24"/>
          <w:szCs w:val="18"/>
          <w:lang w:val="en-US" w:eastAsia="zh-CN"/>
        </w:rPr>
      </w:pPr>
      <w:r>
        <w:rPr>
          <w:rFonts w:hint="eastAsia" w:ascii="宋体" w:hAnsi="宋体" w:eastAsia="宋体"/>
          <w:sz w:val="24"/>
          <w:szCs w:val="18"/>
        </w:rPr>
        <w:t>3.项目地点：</w:t>
      </w:r>
      <w:r>
        <w:rPr>
          <w:rFonts w:hint="eastAsia" w:ascii="宋体" w:hAnsi="宋体" w:eastAsia="宋体"/>
          <w:sz w:val="24"/>
          <w:szCs w:val="18"/>
          <w:lang w:val="en-US" w:eastAsia="zh-CN"/>
        </w:rPr>
        <w:t>安徽省合肥市</w:t>
      </w:r>
    </w:p>
    <w:p w14:paraId="28890E05">
      <w:pPr>
        <w:autoSpaceDE w:val="0"/>
        <w:autoSpaceDN w:val="0"/>
        <w:adjustRightInd w:val="0"/>
        <w:spacing w:line="360" w:lineRule="auto"/>
        <w:ind w:firstLine="436" w:firstLineChars="182"/>
        <w:jc w:val="left"/>
        <w:rPr>
          <w:rFonts w:hint="eastAsia" w:ascii="宋体" w:hAnsi="宋体" w:eastAsia="宋体"/>
          <w:sz w:val="24"/>
          <w:szCs w:val="18"/>
          <w:lang w:eastAsia="zh-CN"/>
        </w:rPr>
      </w:pPr>
      <w:r>
        <w:rPr>
          <w:rFonts w:hint="eastAsia" w:ascii="宋体" w:hAnsi="宋体" w:eastAsia="宋体"/>
          <w:sz w:val="24"/>
          <w:szCs w:val="18"/>
        </w:rPr>
        <w:t>4.项目单位：</w:t>
      </w:r>
      <w:r>
        <w:rPr>
          <w:rFonts w:hint="eastAsia" w:ascii="宋体" w:hAnsi="宋体" w:eastAsia="宋体"/>
          <w:sz w:val="24"/>
          <w:szCs w:val="18"/>
          <w:u w:val="single"/>
          <w:lang w:eastAsia="zh-CN"/>
        </w:rPr>
        <w:t>滁州学院教育发展基金会</w:t>
      </w:r>
    </w:p>
    <w:p w14:paraId="1A13D193">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szCs w:val="18"/>
        </w:rPr>
        <w:t>5.项目概况：</w:t>
      </w:r>
      <w:r>
        <w:rPr>
          <w:rFonts w:hint="eastAsia" w:ascii="宋体" w:hAnsi="宋体" w:eastAsia="宋体"/>
          <w:sz w:val="24"/>
          <w:szCs w:val="18"/>
          <w:u w:val="single"/>
          <w:lang w:eastAsia="zh-CN"/>
        </w:rPr>
        <w:t>滁州学院校友信息管理系统升级改造项目</w:t>
      </w:r>
      <w:r>
        <w:rPr>
          <w:rFonts w:hint="eastAsia" w:ascii="宋体" w:hAnsi="宋体" w:eastAsia="宋体"/>
          <w:sz w:val="24"/>
          <w:szCs w:val="18"/>
        </w:rPr>
        <w:t>，</w:t>
      </w:r>
      <w:r>
        <w:rPr>
          <w:rFonts w:hint="eastAsia" w:ascii="宋体" w:hAnsi="宋体" w:eastAsia="宋体"/>
          <w:sz w:val="24"/>
        </w:rPr>
        <w:t>详见磋商文件</w:t>
      </w:r>
    </w:p>
    <w:p w14:paraId="1390D40F">
      <w:pPr>
        <w:autoSpaceDE w:val="0"/>
        <w:autoSpaceDN w:val="0"/>
        <w:adjustRightInd w:val="0"/>
        <w:spacing w:line="360" w:lineRule="auto"/>
        <w:ind w:firstLine="436" w:firstLineChars="182"/>
        <w:jc w:val="left"/>
        <w:rPr>
          <w:rFonts w:hint="default" w:ascii="宋体" w:hAnsi="宋体" w:eastAsia="宋体"/>
          <w:sz w:val="24"/>
          <w:szCs w:val="18"/>
          <w:lang w:val="en-US" w:eastAsia="zh-CN"/>
        </w:rPr>
      </w:pPr>
      <w:r>
        <w:rPr>
          <w:rFonts w:hint="eastAsia" w:ascii="宋体" w:hAnsi="宋体" w:eastAsia="宋体"/>
          <w:sz w:val="24"/>
          <w:szCs w:val="18"/>
        </w:rPr>
        <w:t>6.资金来源：</w:t>
      </w:r>
      <w:r>
        <w:rPr>
          <w:rFonts w:hint="eastAsia" w:ascii="宋体" w:hAnsi="宋体" w:eastAsia="宋体"/>
          <w:sz w:val="24"/>
          <w:szCs w:val="18"/>
          <w:lang w:val="en-US" w:eastAsia="zh-CN"/>
        </w:rPr>
        <w:t>自行支付</w:t>
      </w:r>
    </w:p>
    <w:p w14:paraId="4043AB89">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szCs w:val="18"/>
        </w:rPr>
        <w:t>7.项目预算：</w:t>
      </w:r>
      <w:r>
        <w:rPr>
          <w:rFonts w:hint="eastAsia" w:ascii="宋体" w:hAnsi="宋体" w:eastAsia="宋体"/>
          <w:color w:val="auto"/>
          <w:sz w:val="24"/>
          <w:szCs w:val="18"/>
          <w:lang w:val="en-US" w:eastAsia="zh-CN"/>
        </w:rPr>
        <w:t>40万元</w:t>
      </w:r>
    </w:p>
    <w:p w14:paraId="13791132">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szCs w:val="18"/>
        </w:rPr>
        <w:t>8.项目类别：服务</w:t>
      </w:r>
    </w:p>
    <w:p w14:paraId="1D0D7D85">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szCs w:val="18"/>
        </w:rPr>
        <w:t>9.标段（包别）划分：共分</w:t>
      </w:r>
      <w:r>
        <w:rPr>
          <w:rFonts w:hint="eastAsia" w:ascii="宋体" w:hAnsi="宋体" w:eastAsia="宋体"/>
          <w:sz w:val="24"/>
          <w:szCs w:val="18"/>
          <w:u w:val="single"/>
          <w:lang w:val="en-US" w:eastAsia="zh-CN"/>
        </w:rPr>
        <w:t>1</w:t>
      </w:r>
      <w:r>
        <w:rPr>
          <w:rFonts w:hint="eastAsia" w:ascii="宋体" w:hAnsi="宋体" w:eastAsia="宋体"/>
          <w:sz w:val="24"/>
          <w:szCs w:val="18"/>
        </w:rPr>
        <w:t>个包，本次采购第</w:t>
      </w:r>
      <w:r>
        <w:rPr>
          <w:rFonts w:hint="eastAsia" w:ascii="宋体" w:hAnsi="宋体" w:eastAsia="宋体"/>
          <w:sz w:val="24"/>
          <w:szCs w:val="18"/>
          <w:u w:val="single"/>
          <w:lang w:val="en-US" w:eastAsia="zh-CN"/>
        </w:rPr>
        <w:t>1</w:t>
      </w:r>
      <w:r>
        <w:rPr>
          <w:rFonts w:hint="eastAsia" w:ascii="宋体" w:hAnsi="宋体" w:eastAsia="宋体"/>
          <w:sz w:val="24"/>
          <w:szCs w:val="18"/>
        </w:rPr>
        <w:t>包</w:t>
      </w:r>
    </w:p>
    <w:p w14:paraId="76642B77">
      <w:pPr>
        <w:spacing w:line="360" w:lineRule="auto"/>
        <w:ind w:firstLine="435"/>
        <w:outlineLvl w:val="1"/>
        <w:rPr>
          <w:rFonts w:ascii="宋体" w:hAnsi="宋体" w:eastAsia="宋体"/>
          <w:b/>
          <w:bCs/>
          <w:sz w:val="24"/>
          <w:szCs w:val="18"/>
        </w:rPr>
      </w:pPr>
      <w:bookmarkStart w:id="3" w:name="_Toc6333"/>
      <w:r>
        <w:rPr>
          <w:rFonts w:hint="eastAsia" w:ascii="宋体" w:hAnsi="宋体" w:eastAsia="宋体"/>
          <w:b/>
          <w:bCs/>
          <w:sz w:val="24"/>
          <w:szCs w:val="18"/>
        </w:rPr>
        <w:t>二</w:t>
      </w:r>
      <w:r>
        <w:rPr>
          <w:rFonts w:hint="eastAsia" w:asciiTheme="minorEastAsia" w:hAnsiTheme="minorEastAsia" w:eastAsiaTheme="minorEastAsia"/>
          <w:b/>
          <w:sz w:val="24"/>
        </w:rPr>
        <w:t>、</w:t>
      </w:r>
      <w:r>
        <w:rPr>
          <w:rFonts w:hint="eastAsia" w:ascii="宋体" w:hAnsi="宋体" w:eastAsia="宋体"/>
          <w:b/>
          <w:bCs/>
          <w:sz w:val="24"/>
          <w:szCs w:val="18"/>
        </w:rPr>
        <w:t>供应商资格</w:t>
      </w:r>
      <w:bookmarkEnd w:id="3"/>
    </w:p>
    <w:p w14:paraId="6880CAE7">
      <w:pPr>
        <w:spacing w:line="360" w:lineRule="auto"/>
        <w:ind w:firstLine="435"/>
        <w:rPr>
          <w:rFonts w:ascii="宋体" w:hAnsi="宋体" w:eastAsia="宋体"/>
          <w:sz w:val="24"/>
          <w:szCs w:val="18"/>
        </w:rPr>
      </w:pPr>
      <w:r>
        <w:rPr>
          <w:rFonts w:hint="eastAsia" w:ascii="宋体" w:hAnsi="宋体" w:eastAsia="宋体"/>
          <w:sz w:val="24"/>
          <w:szCs w:val="18"/>
        </w:rPr>
        <w:t>详见竞争性磋商公告</w:t>
      </w:r>
      <w:r>
        <w:rPr>
          <w:rFonts w:hint="eastAsia" w:ascii="宋体" w:hAnsi="宋体" w:eastAsia="宋体"/>
          <w:sz w:val="24"/>
          <w:szCs w:val="18"/>
          <w:u w:val="single"/>
        </w:rPr>
        <w:t>申请人的资格要求</w:t>
      </w:r>
      <w:r>
        <w:rPr>
          <w:rFonts w:hint="eastAsia" w:ascii="宋体" w:hAnsi="宋体" w:eastAsia="宋体"/>
          <w:sz w:val="24"/>
          <w:szCs w:val="18"/>
        </w:rPr>
        <w:t>。</w:t>
      </w:r>
    </w:p>
    <w:p w14:paraId="0AA653A3">
      <w:pPr>
        <w:spacing w:line="360" w:lineRule="auto"/>
        <w:ind w:firstLine="435"/>
        <w:outlineLvl w:val="1"/>
        <w:rPr>
          <w:rFonts w:ascii="宋体" w:hAnsi="宋体" w:eastAsia="宋体"/>
          <w:b/>
          <w:bCs/>
          <w:sz w:val="24"/>
          <w:szCs w:val="18"/>
        </w:rPr>
      </w:pPr>
      <w:bookmarkStart w:id="4" w:name="_Toc23888"/>
      <w:r>
        <w:rPr>
          <w:rFonts w:hint="eastAsia" w:ascii="宋体" w:hAnsi="宋体" w:eastAsia="宋体"/>
          <w:b/>
          <w:bCs/>
          <w:sz w:val="24"/>
          <w:szCs w:val="18"/>
        </w:rPr>
        <w:t>三</w:t>
      </w:r>
      <w:r>
        <w:rPr>
          <w:rFonts w:hint="eastAsia" w:asciiTheme="minorEastAsia" w:hAnsiTheme="minorEastAsia" w:eastAsiaTheme="minorEastAsia"/>
          <w:b/>
          <w:sz w:val="24"/>
        </w:rPr>
        <w:t>、</w:t>
      </w:r>
      <w:r>
        <w:rPr>
          <w:rFonts w:hint="eastAsia" w:ascii="宋体" w:hAnsi="宋体" w:eastAsia="宋体"/>
          <w:b/>
          <w:bCs/>
          <w:sz w:val="24"/>
          <w:szCs w:val="18"/>
        </w:rPr>
        <w:t>磋商文件的获取</w:t>
      </w:r>
      <w:bookmarkEnd w:id="4"/>
    </w:p>
    <w:p w14:paraId="3DBDB928">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szCs w:val="18"/>
        </w:rPr>
        <w:t>1</w:t>
      </w:r>
      <w:r>
        <w:rPr>
          <w:rFonts w:hint="eastAsia" w:asciiTheme="minorEastAsia" w:hAnsiTheme="minorEastAsia" w:eastAsiaTheme="minorEastAsia"/>
          <w:b/>
          <w:sz w:val="24"/>
        </w:rPr>
        <w:t>.</w:t>
      </w:r>
      <w:r>
        <w:rPr>
          <w:rFonts w:hint="eastAsia" w:ascii="宋体" w:hAnsi="宋体" w:eastAsia="宋体"/>
          <w:sz w:val="24"/>
          <w:szCs w:val="18"/>
        </w:rPr>
        <w:t>获取时间：详见竞争性磋商公告</w:t>
      </w:r>
    </w:p>
    <w:p w14:paraId="3F7BB586">
      <w:pPr>
        <w:autoSpaceDE w:val="0"/>
        <w:autoSpaceDN w:val="0"/>
        <w:adjustRightInd w:val="0"/>
        <w:spacing w:line="360" w:lineRule="auto"/>
        <w:ind w:firstLine="436" w:firstLineChars="182"/>
        <w:jc w:val="left"/>
        <w:rPr>
          <w:rFonts w:ascii="宋体" w:hAnsi="宋体" w:eastAsia="宋体"/>
          <w:sz w:val="24"/>
          <w:szCs w:val="18"/>
        </w:rPr>
      </w:pPr>
      <w:r>
        <w:rPr>
          <w:rFonts w:hint="eastAsia" w:ascii="宋体" w:hAnsi="宋体" w:eastAsia="宋体"/>
          <w:sz w:val="24"/>
          <w:szCs w:val="18"/>
        </w:rPr>
        <w:t>2.获取方式：详见竞争性磋商公告</w:t>
      </w:r>
    </w:p>
    <w:p w14:paraId="0B350825">
      <w:pPr>
        <w:spacing w:line="360" w:lineRule="auto"/>
        <w:ind w:firstLine="435"/>
        <w:outlineLvl w:val="1"/>
        <w:rPr>
          <w:rFonts w:ascii="宋体" w:hAnsi="宋体" w:eastAsia="宋体"/>
          <w:b/>
          <w:bCs/>
          <w:sz w:val="24"/>
          <w:szCs w:val="18"/>
        </w:rPr>
      </w:pPr>
      <w:bookmarkStart w:id="5" w:name="_Toc14292"/>
      <w:r>
        <w:rPr>
          <w:rFonts w:hint="eastAsia" w:ascii="宋体" w:hAnsi="宋体" w:eastAsia="宋体"/>
          <w:b/>
          <w:bCs/>
          <w:sz w:val="24"/>
          <w:szCs w:val="18"/>
        </w:rPr>
        <w:t>四</w:t>
      </w:r>
      <w:r>
        <w:rPr>
          <w:rFonts w:hint="eastAsia" w:asciiTheme="minorEastAsia" w:hAnsiTheme="minorEastAsia" w:eastAsiaTheme="minorEastAsia"/>
          <w:b/>
          <w:sz w:val="24"/>
        </w:rPr>
        <w:t>、</w:t>
      </w:r>
      <w:r>
        <w:rPr>
          <w:rFonts w:hint="eastAsia" w:ascii="宋体" w:hAnsi="宋体" w:eastAsia="宋体"/>
          <w:b/>
          <w:bCs/>
          <w:sz w:val="24"/>
        </w:rPr>
        <w:t>磋商时间及地点</w:t>
      </w:r>
      <w:bookmarkEnd w:id="5"/>
    </w:p>
    <w:p w14:paraId="4BDCA264">
      <w:pPr>
        <w:spacing w:line="360" w:lineRule="auto"/>
        <w:ind w:firstLine="435"/>
        <w:rPr>
          <w:rFonts w:ascii="宋体" w:hAnsi="宋体" w:eastAsia="宋体"/>
          <w:sz w:val="24"/>
          <w:szCs w:val="18"/>
        </w:rPr>
      </w:pPr>
      <w:r>
        <w:rPr>
          <w:rFonts w:hint="eastAsia" w:ascii="宋体" w:hAnsi="宋体" w:eastAsia="宋体"/>
          <w:sz w:val="24"/>
          <w:szCs w:val="18"/>
        </w:rPr>
        <w:t>1</w:t>
      </w:r>
      <w:r>
        <w:rPr>
          <w:rFonts w:hint="eastAsia" w:asciiTheme="minorEastAsia" w:hAnsiTheme="minorEastAsia" w:eastAsiaTheme="minorEastAsia"/>
          <w:b/>
          <w:sz w:val="24"/>
        </w:rPr>
        <w:t>.</w:t>
      </w:r>
      <w:r>
        <w:rPr>
          <w:rFonts w:hint="eastAsia" w:ascii="宋体" w:hAnsi="宋体" w:eastAsia="宋体"/>
          <w:sz w:val="24"/>
          <w:szCs w:val="18"/>
        </w:rPr>
        <w:t>磋商时间：详见竞争性磋商公告</w:t>
      </w:r>
    </w:p>
    <w:p w14:paraId="26651A66">
      <w:pPr>
        <w:spacing w:line="360" w:lineRule="auto"/>
        <w:ind w:firstLine="435"/>
        <w:rPr>
          <w:rFonts w:ascii="宋体" w:hAnsi="宋体" w:eastAsia="宋体"/>
          <w:sz w:val="24"/>
          <w:szCs w:val="18"/>
        </w:rPr>
      </w:pPr>
      <w:r>
        <w:rPr>
          <w:rFonts w:hint="eastAsia" w:ascii="宋体" w:hAnsi="宋体" w:eastAsia="宋体"/>
          <w:sz w:val="24"/>
          <w:szCs w:val="18"/>
        </w:rPr>
        <w:t>2</w:t>
      </w:r>
      <w:r>
        <w:rPr>
          <w:rFonts w:hint="eastAsia" w:asciiTheme="minorEastAsia" w:hAnsiTheme="minorEastAsia" w:eastAsiaTheme="minorEastAsia"/>
          <w:b/>
          <w:sz w:val="24"/>
        </w:rPr>
        <w:t>.</w:t>
      </w:r>
      <w:r>
        <w:rPr>
          <w:rFonts w:hint="eastAsia" w:ascii="宋体" w:hAnsi="宋体" w:eastAsia="宋体"/>
          <w:sz w:val="24"/>
          <w:szCs w:val="18"/>
        </w:rPr>
        <w:t>磋商地点：详见竞争性磋商公告</w:t>
      </w:r>
    </w:p>
    <w:p w14:paraId="362D3665">
      <w:pPr>
        <w:spacing w:line="360" w:lineRule="auto"/>
        <w:ind w:firstLine="435"/>
        <w:outlineLvl w:val="1"/>
        <w:rPr>
          <w:rFonts w:ascii="宋体" w:hAnsi="宋体" w:eastAsia="宋体"/>
          <w:b/>
          <w:bCs/>
          <w:sz w:val="24"/>
          <w:szCs w:val="18"/>
        </w:rPr>
      </w:pPr>
      <w:bookmarkStart w:id="6" w:name="_Toc15486"/>
      <w:r>
        <w:rPr>
          <w:rFonts w:hint="eastAsia" w:ascii="宋体" w:hAnsi="宋体" w:eastAsia="宋体"/>
          <w:b/>
          <w:bCs/>
          <w:sz w:val="24"/>
          <w:szCs w:val="18"/>
        </w:rPr>
        <w:t>五</w:t>
      </w:r>
      <w:r>
        <w:rPr>
          <w:rFonts w:hint="eastAsia" w:asciiTheme="minorEastAsia" w:hAnsiTheme="minorEastAsia" w:eastAsiaTheme="minorEastAsia"/>
          <w:b/>
          <w:sz w:val="24"/>
        </w:rPr>
        <w:t>、</w:t>
      </w:r>
      <w:r>
        <w:rPr>
          <w:rFonts w:hint="eastAsia" w:ascii="宋体" w:hAnsi="宋体" w:eastAsia="宋体"/>
          <w:b/>
          <w:bCs/>
          <w:sz w:val="24"/>
        </w:rPr>
        <w:t>响应文件提交截止时间</w:t>
      </w:r>
      <w:bookmarkEnd w:id="6"/>
    </w:p>
    <w:p w14:paraId="167A6DD6">
      <w:pPr>
        <w:spacing w:line="360" w:lineRule="auto"/>
        <w:ind w:firstLine="435"/>
        <w:rPr>
          <w:rFonts w:ascii="宋体" w:hAnsi="宋体" w:eastAsia="宋体"/>
          <w:sz w:val="24"/>
          <w:szCs w:val="18"/>
        </w:rPr>
      </w:pPr>
      <w:r>
        <w:rPr>
          <w:rFonts w:hint="eastAsia" w:ascii="宋体" w:hAnsi="宋体" w:eastAsia="宋体"/>
          <w:sz w:val="24"/>
          <w:szCs w:val="18"/>
        </w:rPr>
        <w:t>同磋商时间</w:t>
      </w:r>
    </w:p>
    <w:p w14:paraId="5FFF2EAD">
      <w:pPr>
        <w:spacing w:line="360" w:lineRule="auto"/>
        <w:ind w:firstLine="435"/>
        <w:outlineLvl w:val="1"/>
        <w:rPr>
          <w:rFonts w:ascii="宋体" w:hAnsi="宋体" w:eastAsia="宋体"/>
          <w:b/>
          <w:bCs/>
          <w:sz w:val="24"/>
          <w:szCs w:val="18"/>
        </w:rPr>
      </w:pPr>
      <w:bookmarkStart w:id="7" w:name="_Toc2834"/>
      <w:r>
        <w:rPr>
          <w:rFonts w:hint="eastAsia" w:ascii="宋体" w:hAnsi="宋体" w:eastAsia="宋体"/>
          <w:b/>
          <w:bCs/>
          <w:sz w:val="24"/>
          <w:szCs w:val="18"/>
        </w:rPr>
        <w:t>六</w:t>
      </w:r>
      <w:r>
        <w:rPr>
          <w:rFonts w:hint="eastAsia" w:asciiTheme="minorEastAsia" w:hAnsiTheme="minorEastAsia" w:eastAsiaTheme="minorEastAsia"/>
          <w:b/>
          <w:sz w:val="24"/>
        </w:rPr>
        <w:t>、</w:t>
      </w:r>
      <w:r>
        <w:rPr>
          <w:rFonts w:hint="eastAsia" w:ascii="宋体" w:hAnsi="宋体" w:eastAsia="宋体"/>
          <w:b/>
          <w:bCs/>
          <w:sz w:val="24"/>
          <w:szCs w:val="18"/>
        </w:rPr>
        <w:t>联系方式</w:t>
      </w:r>
      <w:bookmarkEnd w:id="7"/>
    </w:p>
    <w:p w14:paraId="6F73532E">
      <w:pPr>
        <w:spacing w:line="360" w:lineRule="auto"/>
        <w:ind w:firstLine="435"/>
        <w:outlineLvl w:val="2"/>
        <w:rPr>
          <w:rFonts w:ascii="宋体" w:hAnsi="宋体" w:eastAsia="宋体"/>
          <w:sz w:val="24"/>
          <w:szCs w:val="18"/>
        </w:rPr>
      </w:pPr>
      <w:r>
        <w:rPr>
          <w:rFonts w:hint="eastAsia" w:ascii="宋体" w:hAnsi="宋体" w:eastAsia="宋体"/>
          <w:sz w:val="24"/>
          <w:szCs w:val="18"/>
        </w:rPr>
        <w:t>1.采购人</w:t>
      </w:r>
    </w:p>
    <w:p w14:paraId="1439F0D8">
      <w:pPr>
        <w:spacing w:line="360" w:lineRule="auto"/>
        <w:ind w:firstLine="435"/>
        <w:rPr>
          <w:rFonts w:hint="eastAsia" w:ascii="宋体" w:hAnsi="宋体" w:eastAsia="宋体"/>
          <w:sz w:val="24"/>
          <w:szCs w:val="18"/>
          <w:lang w:eastAsia="zh-CN"/>
        </w:rPr>
      </w:pPr>
      <w:r>
        <w:rPr>
          <w:rFonts w:hint="eastAsia" w:ascii="宋体" w:hAnsi="宋体" w:eastAsia="宋体"/>
          <w:sz w:val="24"/>
          <w:szCs w:val="18"/>
        </w:rPr>
        <w:t>名  称：</w:t>
      </w:r>
      <w:r>
        <w:rPr>
          <w:rFonts w:hint="eastAsia" w:ascii="宋体" w:hAnsi="宋体" w:eastAsia="宋体"/>
          <w:sz w:val="24"/>
          <w:szCs w:val="18"/>
          <w:u w:val="single"/>
          <w:lang w:eastAsia="zh-CN"/>
        </w:rPr>
        <w:t>滁州学院教育发展基金会</w:t>
      </w:r>
    </w:p>
    <w:p w14:paraId="3CD879E4">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rPr>
        <w:t>滁州市琅琊区会峰西路1号</w:t>
      </w:r>
    </w:p>
    <w:p w14:paraId="05329F7C">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联系人：</w:t>
      </w:r>
      <w:r>
        <w:rPr>
          <w:rFonts w:hint="eastAsia" w:ascii="宋体" w:hAnsi="宋体" w:eastAsia="宋体"/>
          <w:sz w:val="24"/>
          <w:szCs w:val="18"/>
          <w:highlight w:val="none"/>
          <w:u w:val="single"/>
          <w:lang w:val="en-US" w:eastAsia="zh-CN"/>
        </w:rPr>
        <w:t>江</w:t>
      </w:r>
      <w:r>
        <w:rPr>
          <w:rFonts w:hint="eastAsia" w:ascii="宋体" w:hAnsi="宋体" w:eastAsia="宋体"/>
          <w:sz w:val="24"/>
          <w:szCs w:val="18"/>
          <w:highlight w:val="none"/>
          <w:u w:val="single"/>
        </w:rPr>
        <w:t>老师</w:t>
      </w:r>
    </w:p>
    <w:p w14:paraId="4E51DAEB">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电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话：</w:t>
      </w:r>
      <w:r>
        <w:rPr>
          <w:rFonts w:hint="eastAsia" w:ascii="宋体" w:hAnsi="宋体" w:eastAsia="宋体"/>
          <w:color w:val="auto"/>
          <w:sz w:val="24"/>
          <w:szCs w:val="18"/>
          <w:highlight w:val="none"/>
          <w:u w:val="single"/>
        </w:rPr>
        <w:t>0550-3512610</w:t>
      </w:r>
    </w:p>
    <w:p w14:paraId="7602C73E">
      <w:pPr>
        <w:spacing w:line="360" w:lineRule="auto"/>
        <w:ind w:firstLine="435"/>
        <w:outlineLvl w:val="2"/>
        <w:rPr>
          <w:rFonts w:asciiTheme="minorEastAsia" w:hAnsiTheme="minorEastAsia" w:eastAsiaTheme="minorEastAsia"/>
          <w:b/>
          <w:sz w:val="24"/>
        </w:rPr>
      </w:pPr>
      <w:r>
        <w:rPr>
          <w:rFonts w:ascii="宋体" w:hAnsi="宋体" w:eastAsia="宋体"/>
          <w:sz w:val="24"/>
          <w:szCs w:val="18"/>
        </w:rPr>
        <w:t>2</w:t>
      </w:r>
      <w:r>
        <w:rPr>
          <w:rFonts w:hint="eastAsia" w:asciiTheme="minorEastAsia" w:hAnsiTheme="minorEastAsia" w:eastAsiaTheme="minorEastAsia"/>
          <w:b/>
          <w:sz w:val="24"/>
        </w:rPr>
        <w:t>.</w:t>
      </w:r>
      <w:r>
        <w:rPr>
          <w:rFonts w:hint="eastAsia" w:ascii="宋体" w:hAnsi="宋体" w:eastAsia="宋体"/>
          <w:sz w:val="24"/>
          <w:szCs w:val="18"/>
        </w:rPr>
        <w:t>采购代理机构</w:t>
      </w:r>
    </w:p>
    <w:p w14:paraId="74477B02">
      <w:pPr>
        <w:spacing w:line="360" w:lineRule="auto"/>
        <w:ind w:firstLine="435"/>
        <w:rPr>
          <w:rFonts w:ascii="宋体" w:hAnsi="宋体" w:eastAsia="宋体"/>
          <w:sz w:val="24"/>
          <w:szCs w:val="18"/>
        </w:rPr>
      </w:pPr>
      <w:r>
        <w:rPr>
          <w:rFonts w:hint="eastAsia" w:ascii="宋体" w:hAnsi="宋体" w:eastAsia="宋体"/>
          <w:sz w:val="24"/>
          <w:szCs w:val="18"/>
        </w:rPr>
        <w:t>名  称：</w:t>
      </w:r>
      <w:r>
        <w:rPr>
          <w:rFonts w:hint="eastAsia" w:ascii="宋体" w:hAnsi="宋体" w:eastAsia="宋体"/>
          <w:sz w:val="24"/>
          <w:szCs w:val="18"/>
          <w:u w:val="single"/>
        </w:rPr>
        <w:t>安徽公共资源交易集团项目管理有限公司</w:t>
      </w:r>
    </w:p>
    <w:p w14:paraId="658F3D31">
      <w:pPr>
        <w:spacing w:line="360" w:lineRule="auto"/>
        <w:ind w:firstLine="435"/>
        <w:rPr>
          <w:rFonts w:ascii="宋体" w:hAnsi="宋体" w:eastAsia="宋体"/>
          <w:sz w:val="24"/>
          <w:szCs w:val="18"/>
        </w:rPr>
      </w:pPr>
      <w:r>
        <w:rPr>
          <w:rFonts w:hint="eastAsia" w:ascii="宋体" w:hAnsi="宋体" w:eastAsia="宋体"/>
          <w:sz w:val="24"/>
          <w:szCs w:val="18"/>
        </w:rPr>
        <w:t xml:space="preserve">地 </w:t>
      </w:r>
      <w:r>
        <w:rPr>
          <w:rFonts w:ascii="宋体" w:hAnsi="宋体" w:eastAsia="宋体"/>
          <w:sz w:val="24"/>
          <w:szCs w:val="18"/>
        </w:rPr>
        <w:t xml:space="preserve"> </w:t>
      </w:r>
      <w:r>
        <w:rPr>
          <w:rFonts w:hint="eastAsia" w:ascii="宋体" w:hAnsi="宋体" w:eastAsia="宋体"/>
          <w:sz w:val="24"/>
          <w:szCs w:val="18"/>
        </w:rPr>
        <w:t>址：</w:t>
      </w:r>
      <w:r>
        <w:rPr>
          <w:rFonts w:hint="eastAsia" w:ascii="宋体" w:hAnsi="宋体" w:eastAsia="宋体"/>
          <w:sz w:val="24"/>
          <w:szCs w:val="18"/>
          <w:u w:val="single"/>
        </w:rPr>
        <w:t>合肥市滨湖新区南京路</w:t>
      </w:r>
      <w:r>
        <w:rPr>
          <w:rFonts w:ascii="宋体" w:hAnsi="宋体" w:eastAsia="宋体"/>
          <w:sz w:val="24"/>
          <w:szCs w:val="18"/>
          <w:u w:val="single"/>
        </w:rPr>
        <w:t>2588号（徽州大道与南京路交口）六楼</w:t>
      </w:r>
    </w:p>
    <w:p w14:paraId="543E2829">
      <w:pPr>
        <w:spacing w:line="360" w:lineRule="auto"/>
        <w:ind w:firstLine="435"/>
        <w:rPr>
          <w:rFonts w:ascii="宋体" w:hAnsi="宋体" w:eastAsia="宋体"/>
          <w:sz w:val="24"/>
          <w:szCs w:val="18"/>
        </w:rPr>
      </w:pPr>
      <w:r>
        <w:rPr>
          <w:rFonts w:hint="eastAsia" w:ascii="宋体" w:hAnsi="宋体" w:eastAsia="宋体"/>
          <w:sz w:val="24"/>
          <w:szCs w:val="18"/>
        </w:rPr>
        <w:t>联系人：</w:t>
      </w:r>
      <w:r>
        <w:rPr>
          <w:rFonts w:hint="eastAsia" w:ascii="宋体" w:hAnsi="宋体" w:eastAsia="宋体"/>
          <w:sz w:val="24"/>
          <w:szCs w:val="18"/>
          <w:u w:val="single"/>
        </w:rPr>
        <w:t>李工</w:t>
      </w:r>
    </w:p>
    <w:p w14:paraId="32D3926B">
      <w:pPr>
        <w:spacing w:line="360" w:lineRule="auto"/>
        <w:ind w:firstLine="435"/>
        <w:rPr>
          <w:rFonts w:hint="default" w:ascii="宋体" w:hAnsi="宋体" w:eastAsia="宋体"/>
          <w:sz w:val="24"/>
          <w:szCs w:val="18"/>
          <w:u w:val="single"/>
          <w:lang w:val="en-US" w:eastAsia="zh-CN"/>
        </w:rPr>
      </w:pPr>
      <w:r>
        <w:rPr>
          <w:rFonts w:hint="eastAsia" w:ascii="宋体" w:hAnsi="宋体" w:eastAsia="宋体"/>
          <w:sz w:val="24"/>
          <w:szCs w:val="18"/>
        </w:rPr>
        <w:t xml:space="preserve">电 </w:t>
      </w:r>
      <w:r>
        <w:rPr>
          <w:rFonts w:ascii="宋体" w:hAnsi="宋体" w:eastAsia="宋体"/>
          <w:sz w:val="24"/>
          <w:szCs w:val="18"/>
        </w:rPr>
        <w:t xml:space="preserve"> </w:t>
      </w:r>
      <w:r>
        <w:rPr>
          <w:rFonts w:hint="eastAsia" w:ascii="宋体" w:hAnsi="宋体" w:eastAsia="宋体"/>
          <w:sz w:val="24"/>
          <w:szCs w:val="18"/>
        </w:rPr>
        <w:t>话：</w:t>
      </w:r>
      <w:r>
        <w:rPr>
          <w:rFonts w:ascii="宋体" w:hAnsi="宋体" w:eastAsia="宋体"/>
          <w:sz w:val="24"/>
          <w:szCs w:val="18"/>
          <w:u w:val="single"/>
        </w:rPr>
        <w:t>0551-6622</w:t>
      </w:r>
      <w:r>
        <w:rPr>
          <w:rFonts w:hint="eastAsia" w:ascii="宋体" w:hAnsi="宋体" w:eastAsia="宋体"/>
          <w:sz w:val="24"/>
          <w:szCs w:val="18"/>
          <w:u w:val="single"/>
          <w:lang w:val="en-US" w:eastAsia="zh-CN"/>
        </w:rPr>
        <w:t>3922</w:t>
      </w:r>
    </w:p>
    <w:p w14:paraId="30D65BE3">
      <w:pPr>
        <w:spacing w:line="360" w:lineRule="auto"/>
        <w:ind w:firstLine="435"/>
        <w:outlineLvl w:val="2"/>
        <w:rPr>
          <w:rFonts w:ascii="宋体" w:hAnsi="宋体" w:eastAsia="宋体"/>
          <w:sz w:val="24"/>
          <w:szCs w:val="18"/>
        </w:rPr>
      </w:pPr>
      <w:r>
        <w:rPr>
          <w:rFonts w:hint="eastAsia" w:ascii="宋体" w:hAnsi="宋体" w:eastAsia="宋体"/>
          <w:sz w:val="24"/>
          <w:szCs w:val="18"/>
        </w:rPr>
        <w:t>3.</w:t>
      </w:r>
      <w:r>
        <w:rPr>
          <w:rFonts w:ascii="宋体" w:hAnsi="宋体" w:eastAsia="宋体"/>
          <w:sz w:val="24"/>
          <w:szCs w:val="18"/>
        </w:rPr>
        <w:t>电子交易系统</w:t>
      </w:r>
    </w:p>
    <w:p w14:paraId="27DBDCC3">
      <w:pPr>
        <w:spacing w:line="360" w:lineRule="auto"/>
        <w:ind w:firstLine="435"/>
        <w:rPr>
          <w:rFonts w:ascii="宋体" w:hAnsi="宋体" w:eastAsia="宋体"/>
          <w:sz w:val="24"/>
          <w:szCs w:val="18"/>
        </w:rPr>
      </w:pPr>
      <w:r>
        <w:rPr>
          <w:rFonts w:hint="eastAsia" w:ascii="宋体" w:hAnsi="宋体" w:eastAsia="宋体"/>
          <w:sz w:val="24"/>
          <w:szCs w:val="18"/>
        </w:rPr>
        <w:t>名  称：</w:t>
      </w:r>
      <w:r>
        <w:rPr>
          <w:rFonts w:hint="eastAsia" w:ascii="宋体" w:hAnsi="宋体" w:eastAsia="宋体"/>
          <w:sz w:val="24"/>
          <w:szCs w:val="18"/>
          <w:u w:val="single"/>
        </w:rPr>
        <w:t>安徽公共资源交易集团电子交易系统</w:t>
      </w:r>
    </w:p>
    <w:p w14:paraId="7E22C327">
      <w:pPr>
        <w:spacing w:line="360" w:lineRule="auto"/>
        <w:ind w:firstLine="435"/>
        <w:rPr>
          <w:rFonts w:ascii="宋体" w:hAnsi="宋体" w:eastAsia="宋体"/>
          <w:sz w:val="24"/>
          <w:szCs w:val="18"/>
        </w:rPr>
      </w:pPr>
      <w:bookmarkStart w:id="8" w:name="_Hlk38114117"/>
      <w:r>
        <w:rPr>
          <w:rFonts w:hint="eastAsia" w:ascii="宋体" w:hAnsi="宋体" w:eastAsia="宋体"/>
          <w:sz w:val="24"/>
          <w:szCs w:val="18"/>
        </w:rPr>
        <w:t>电  话：</w:t>
      </w:r>
      <w:r>
        <w:rPr>
          <w:rFonts w:hint="eastAsia" w:ascii="宋体" w:hAnsi="宋体" w:eastAsia="宋体"/>
          <w:sz w:val="24"/>
          <w:szCs w:val="18"/>
          <w:u w:val="single"/>
        </w:rPr>
        <w:t>0512-58188516</w:t>
      </w:r>
    </w:p>
    <w:bookmarkEnd w:id="8"/>
    <w:p w14:paraId="4E878675">
      <w:pPr>
        <w:spacing w:line="360" w:lineRule="auto"/>
        <w:ind w:firstLine="435"/>
        <w:outlineLvl w:val="2"/>
        <w:rPr>
          <w:rFonts w:ascii="宋体" w:hAnsi="宋体" w:eastAsia="宋体"/>
          <w:sz w:val="24"/>
          <w:szCs w:val="18"/>
        </w:rPr>
      </w:pPr>
      <w:r>
        <w:rPr>
          <w:rFonts w:ascii="宋体" w:hAnsi="宋体" w:eastAsia="宋体"/>
          <w:sz w:val="24"/>
          <w:szCs w:val="18"/>
        </w:rPr>
        <w:t>4</w:t>
      </w:r>
      <w:r>
        <w:rPr>
          <w:rFonts w:hint="eastAsia" w:ascii="宋体" w:hAnsi="宋体" w:eastAsia="宋体"/>
          <w:sz w:val="24"/>
          <w:szCs w:val="18"/>
        </w:rPr>
        <w:t>.</w:t>
      </w:r>
      <w:r>
        <w:rPr>
          <w:rFonts w:ascii="宋体" w:hAnsi="宋体" w:eastAsia="宋体"/>
          <w:sz w:val="24"/>
          <w:szCs w:val="18"/>
        </w:rPr>
        <w:t>电子服务系统</w:t>
      </w:r>
    </w:p>
    <w:p w14:paraId="74000434">
      <w:pPr>
        <w:spacing w:line="360" w:lineRule="auto"/>
        <w:ind w:firstLine="435"/>
        <w:rPr>
          <w:rFonts w:ascii="宋体" w:hAnsi="宋体" w:eastAsia="宋体"/>
          <w:sz w:val="24"/>
          <w:szCs w:val="18"/>
        </w:rPr>
      </w:pPr>
      <w:r>
        <w:rPr>
          <w:rFonts w:hint="eastAsia" w:ascii="宋体" w:hAnsi="宋体" w:eastAsia="宋体"/>
          <w:sz w:val="24"/>
          <w:szCs w:val="18"/>
        </w:rPr>
        <w:t>名  称：</w:t>
      </w:r>
      <w:r>
        <w:rPr>
          <w:rFonts w:ascii="宋体" w:hAnsi="宋体" w:eastAsia="宋体" w:cs="宋体"/>
          <w:sz w:val="24"/>
          <w:szCs w:val="24"/>
          <w:highlight w:val="none"/>
          <w:u w:val="single"/>
        </w:rPr>
        <w:t>安徽合肥公共资源交易电子服务系统</w:t>
      </w:r>
    </w:p>
    <w:p w14:paraId="5D5E7A4F">
      <w:pPr>
        <w:spacing w:line="360" w:lineRule="auto"/>
        <w:ind w:firstLine="435"/>
        <w:rPr>
          <w:rFonts w:ascii="宋体" w:hAnsi="宋体" w:eastAsia="宋体"/>
          <w:sz w:val="24"/>
          <w:szCs w:val="18"/>
        </w:rPr>
      </w:pPr>
      <w:r>
        <w:rPr>
          <w:rFonts w:hint="eastAsia" w:ascii="宋体" w:hAnsi="宋体" w:eastAsia="宋体"/>
          <w:sz w:val="24"/>
          <w:szCs w:val="18"/>
        </w:rPr>
        <w:t>电  话：</w:t>
      </w:r>
      <w:r>
        <w:rPr>
          <w:rFonts w:ascii="宋体" w:hAnsi="宋体" w:eastAsia="宋体"/>
          <w:sz w:val="24"/>
          <w:szCs w:val="18"/>
          <w:u w:val="single"/>
        </w:rPr>
        <w:t>0551-12345</w:t>
      </w:r>
    </w:p>
    <w:p w14:paraId="43C169A5">
      <w:pPr>
        <w:spacing w:line="360" w:lineRule="auto"/>
        <w:ind w:firstLine="435"/>
        <w:outlineLvl w:val="2"/>
        <w:rPr>
          <w:rFonts w:ascii="宋体" w:hAnsi="宋体" w:eastAsia="宋体"/>
          <w:b/>
          <w:sz w:val="24"/>
          <w:szCs w:val="18"/>
        </w:rPr>
      </w:pPr>
      <w:r>
        <w:rPr>
          <w:rFonts w:hint="eastAsia" w:ascii="宋体" w:hAnsi="宋体" w:eastAsia="宋体"/>
          <w:sz w:val="24"/>
          <w:szCs w:val="18"/>
        </w:rPr>
        <w:t>5</w:t>
      </w:r>
      <w:r>
        <w:rPr>
          <w:rFonts w:hint="eastAsia" w:ascii="宋体" w:hAnsi="宋体" w:eastAsia="宋体"/>
          <w:b/>
          <w:sz w:val="24"/>
          <w:szCs w:val="18"/>
        </w:rPr>
        <w:t>.</w:t>
      </w:r>
      <w:r>
        <w:rPr>
          <w:rFonts w:hint="eastAsia" w:ascii="宋体" w:hAnsi="宋体" w:eastAsia="宋体"/>
          <w:sz w:val="24"/>
          <w:szCs w:val="18"/>
        </w:rPr>
        <w:t>监督管理部门</w:t>
      </w:r>
    </w:p>
    <w:p w14:paraId="33558CDF">
      <w:pPr>
        <w:spacing w:line="360" w:lineRule="auto"/>
        <w:ind w:firstLine="435"/>
        <w:rPr>
          <w:rFonts w:hint="default" w:ascii="宋体" w:hAnsi="宋体" w:eastAsia="宋体"/>
          <w:sz w:val="24"/>
          <w:szCs w:val="18"/>
          <w:lang w:val="en-US"/>
        </w:rPr>
      </w:pPr>
      <w:bookmarkStart w:id="9" w:name="_Toc32269"/>
      <w:r>
        <w:rPr>
          <w:rFonts w:hint="eastAsia" w:ascii="宋体" w:hAnsi="宋体" w:eastAsia="宋体"/>
          <w:color w:val="auto"/>
          <w:sz w:val="24"/>
        </w:rPr>
        <w:t>监督管理部门</w:t>
      </w:r>
      <w:r>
        <w:rPr>
          <w:rFonts w:hint="eastAsia" w:ascii="宋体" w:hAnsi="宋体" w:eastAsia="宋体"/>
          <w:color w:val="auto"/>
          <w:sz w:val="24"/>
          <w:szCs w:val="18"/>
        </w:rPr>
        <w:t>：</w:t>
      </w:r>
      <w:r>
        <w:rPr>
          <w:rFonts w:hint="eastAsia" w:ascii="宋体" w:hAnsi="宋体" w:eastAsia="宋体"/>
          <w:color w:val="auto"/>
          <w:sz w:val="24"/>
          <w:szCs w:val="18"/>
          <w:highlight w:val="none"/>
          <w:u w:val="single"/>
        </w:rPr>
        <w:t>滁州学院教育发展基金会</w:t>
      </w:r>
      <w:r>
        <w:rPr>
          <w:rFonts w:hint="eastAsia" w:ascii="宋体" w:hAnsi="宋体" w:eastAsia="宋体"/>
          <w:sz w:val="24"/>
          <w:szCs w:val="18"/>
          <w:u w:val="single"/>
          <w:lang w:val="en-US" w:eastAsia="zh-CN"/>
        </w:rPr>
        <w:t xml:space="preserve"> </w:t>
      </w:r>
    </w:p>
    <w:p w14:paraId="3E781CB2">
      <w:pPr>
        <w:spacing w:line="360" w:lineRule="auto"/>
        <w:ind w:firstLine="435"/>
        <w:rPr>
          <w:rFonts w:ascii="宋体" w:hAnsi="宋体" w:eastAsia="宋体"/>
          <w:color w:val="auto"/>
          <w:sz w:val="24"/>
          <w:szCs w:val="18"/>
          <w:highlight w:val="none"/>
          <w:u w:val="single"/>
        </w:rPr>
      </w:pPr>
      <w:r>
        <w:rPr>
          <w:rFonts w:hint="eastAsia" w:ascii="宋体" w:hAnsi="宋体" w:eastAsia="宋体"/>
          <w:color w:val="auto"/>
          <w:sz w:val="24"/>
          <w:szCs w:val="18"/>
          <w:highlight w:val="none"/>
        </w:rPr>
        <w:t xml:space="preserve">地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址：</w:t>
      </w:r>
      <w:r>
        <w:rPr>
          <w:rFonts w:hint="eastAsia" w:ascii="宋体" w:hAnsi="宋体" w:eastAsia="宋体"/>
          <w:color w:val="auto"/>
          <w:sz w:val="24"/>
          <w:szCs w:val="18"/>
          <w:highlight w:val="none"/>
          <w:u w:val="single"/>
        </w:rPr>
        <w:t>滁州市琅琊区会峰西路1号</w:t>
      </w:r>
    </w:p>
    <w:p w14:paraId="618CC2C7">
      <w:pPr>
        <w:spacing w:line="360" w:lineRule="auto"/>
        <w:ind w:firstLine="435"/>
        <w:rPr>
          <w:rFonts w:ascii="宋体" w:hAnsi="宋体" w:eastAsia="宋体"/>
          <w:color w:val="auto"/>
          <w:sz w:val="24"/>
          <w:szCs w:val="18"/>
          <w:highlight w:val="none"/>
        </w:rPr>
      </w:pPr>
      <w:r>
        <w:rPr>
          <w:rFonts w:hint="eastAsia" w:ascii="宋体" w:hAnsi="宋体" w:eastAsia="宋体"/>
          <w:color w:val="auto"/>
          <w:sz w:val="24"/>
          <w:szCs w:val="18"/>
          <w:highlight w:val="none"/>
        </w:rPr>
        <w:t xml:space="preserve">电 </w:t>
      </w:r>
      <w:r>
        <w:rPr>
          <w:rFonts w:ascii="宋体" w:hAnsi="宋体" w:eastAsia="宋体"/>
          <w:color w:val="auto"/>
          <w:sz w:val="24"/>
          <w:szCs w:val="18"/>
          <w:highlight w:val="none"/>
        </w:rPr>
        <w:t xml:space="preserve"> </w:t>
      </w:r>
      <w:r>
        <w:rPr>
          <w:rFonts w:hint="eastAsia" w:ascii="宋体" w:hAnsi="宋体" w:eastAsia="宋体"/>
          <w:color w:val="auto"/>
          <w:sz w:val="24"/>
          <w:szCs w:val="18"/>
          <w:highlight w:val="none"/>
        </w:rPr>
        <w:t>话：</w:t>
      </w:r>
      <w:r>
        <w:rPr>
          <w:rFonts w:hint="eastAsia" w:ascii="宋体" w:hAnsi="宋体" w:eastAsia="宋体"/>
          <w:color w:val="auto"/>
          <w:sz w:val="24"/>
          <w:szCs w:val="18"/>
          <w:highlight w:val="none"/>
          <w:u w:val="single"/>
        </w:rPr>
        <w:t>0550-3512003</w:t>
      </w:r>
    </w:p>
    <w:p w14:paraId="321A3B91">
      <w:pPr>
        <w:spacing w:line="360" w:lineRule="auto"/>
        <w:ind w:firstLine="435"/>
        <w:outlineLvl w:val="1"/>
        <w:rPr>
          <w:rFonts w:ascii="宋体" w:hAnsi="宋体" w:eastAsia="宋体"/>
          <w:b/>
          <w:sz w:val="24"/>
          <w:szCs w:val="18"/>
        </w:rPr>
      </w:pPr>
      <w:r>
        <w:rPr>
          <w:rFonts w:hint="eastAsia" w:ascii="宋体" w:hAnsi="宋体" w:eastAsia="宋体"/>
          <w:b/>
          <w:sz w:val="24"/>
          <w:szCs w:val="18"/>
        </w:rPr>
        <w:t>七</w:t>
      </w:r>
      <w:r>
        <w:rPr>
          <w:rFonts w:hint="eastAsia" w:asciiTheme="minorEastAsia" w:hAnsiTheme="minorEastAsia" w:eastAsiaTheme="minorEastAsia"/>
          <w:b/>
          <w:sz w:val="24"/>
        </w:rPr>
        <w:t>、</w:t>
      </w:r>
      <w:r>
        <w:rPr>
          <w:rFonts w:hint="eastAsia" w:ascii="宋体" w:hAnsi="宋体" w:eastAsia="宋体"/>
          <w:b/>
          <w:sz w:val="24"/>
          <w:szCs w:val="18"/>
        </w:rPr>
        <w:t>其他事项说明</w:t>
      </w:r>
      <w:bookmarkEnd w:id="9"/>
    </w:p>
    <w:p w14:paraId="6EEEB602">
      <w:pPr>
        <w:spacing w:line="360" w:lineRule="auto"/>
        <w:ind w:firstLine="435"/>
        <w:rPr>
          <w:rFonts w:ascii="宋体" w:hAnsi="宋体" w:eastAsia="宋体"/>
          <w:sz w:val="24"/>
          <w:szCs w:val="18"/>
        </w:rPr>
      </w:pPr>
      <w:r>
        <w:rPr>
          <w:rFonts w:hint="eastAsia" w:ascii="宋体" w:hAnsi="宋体" w:eastAsia="宋体"/>
          <w:sz w:val="24"/>
          <w:szCs w:val="18"/>
          <w:lang w:val="en-US" w:eastAsia="zh-CN"/>
        </w:rPr>
        <w:t>1</w:t>
      </w:r>
      <w:r>
        <w:rPr>
          <w:rFonts w:hint="eastAsia" w:ascii="宋体" w:hAnsi="宋体" w:eastAsia="宋体"/>
          <w:sz w:val="24"/>
          <w:szCs w:val="18"/>
        </w:rPr>
        <w:t>.本次竞争性磋商公告在安徽公共资源交易集团网站</w:t>
      </w:r>
      <w:r>
        <w:rPr>
          <w:rFonts w:ascii="宋体" w:hAnsi="宋体" w:eastAsia="宋体"/>
          <w:sz w:val="24"/>
          <w:szCs w:val="18"/>
        </w:rPr>
        <w:t>发布。</w:t>
      </w:r>
    </w:p>
    <w:p w14:paraId="73D8CAD2">
      <w:pPr>
        <w:spacing w:line="360" w:lineRule="auto"/>
        <w:ind w:firstLine="435"/>
        <w:rPr>
          <w:rFonts w:ascii="宋体" w:hAnsi="宋体" w:eastAsia="宋体"/>
          <w:sz w:val="24"/>
          <w:szCs w:val="18"/>
        </w:rPr>
      </w:pP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w:t>
      </w:r>
      <w:r>
        <w:rPr>
          <w:rFonts w:hint="eastAsia" w:ascii="宋体" w:hAnsi="宋体" w:eastAsia="宋体"/>
          <w:bCs/>
          <w:sz w:val="24"/>
          <w:szCs w:val="18"/>
        </w:rPr>
        <w:t>供应商应合理安排</w:t>
      </w:r>
      <w:r>
        <w:rPr>
          <w:rFonts w:hint="eastAsia" w:ascii="宋体" w:hAnsi="宋体" w:eastAsia="宋体"/>
          <w:sz w:val="24"/>
          <w:szCs w:val="18"/>
        </w:rPr>
        <w:t>磋商</w:t>
      </w:r>
      <w:r>
        <w:rPr>
          <w:rFonts w:hint="eastAsia" w:ascii="宋体" w:hAnsi="宋体" w:eastAsia="宋体"/>
          <w:bCs/>
          <w:sz w:val="24"/>
          <w:szCs w:val="18"/>
        </w:rPr>
        <w:t>文件获取时间，特别是网络速度慢的地区防止在系统关闭前网络拥堵无法操作。如果因计算机及网络故障造成无法完成</w:t>
      </w:r>
      <w:r>
        <w:rPr>
          <w:rFonts w:hint="eastAsia" w:ascii="宋体" w:hAnsi="宋体" w:eastAsia="宋体"/>
          <w:sz w:val="24"/>
          <w:szCs w:val="18"/>
        </w:rPr>
        <w:t>磋商</w:t>
      </w:r>
      <w:r>
        <w:rPr>
          <w:rFonts w:hint="eastAsia" w:ascii="宋体" w:hAnsi="宋体" w:eastAsia="宋体"/>
          <w:bCs/>
          <w:sz w:val="24"/>
          <w:szCs w:val="18"/>
        </w:rPr>
        <w:t>文件获取，责任自负。</w:t>
      </w:r>
      <w:r>
        <w:rPr>
          <w:rFonts w:ascii="宋体" w:hAnsi="宋体" w:eastAsia="宋体"/>
          <w:sz w:val="24"/>
          <w:szCs w:val="18"/>
        </w:rPr>
        <w:br w:type="page"/>
      </w:r>
    </w:p>
    <w:p w14:paraId="59E6216C">
      <w:pPr>
        <w:spacing w:line="360" w:lineRule="auto"/>
        <w:jc w:val="center"/>
        <w:outlineLvl w:val="0"/>
        <w:rPr>
          <w:rFonts w:asciiTheme="minorEastAsia" w:hAnsiTheme="minorEastAsia" w:eastAsiaTheme="minorEastAsia"/>
          <w:b/>
          <w:sz w:val="28"/>
        </w:rPr>
      </w:pPr>
      <w:bookmarkStart w:id="10" w:name="_Toc27554"/>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10"/>
    </w:p>
    <w:p w14:paraId="083B77BE">
      <w:pPr>
        <w:spacing w:line="360" w:lineRule="auto"/>
        <w:jc w:val="center"/>
        <w:outlineLvl w:val="1"/>
        <w:rPr>
          <w:rFonts w:asciiTheme="minorEastAsia" w:hAnsiTheme="minorEastAsia" w:eastAsiaTheme="minorEastAsia"/>
          <w:b/>
          <w:sz w:val="24"/>
        </w:rPr>
      </w:pPr>
      <w:bookmarkStart w:id="11" w:name="_Toc26437"/>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bookmarkEnd w:id="11"/>
    </w:p>
    <w:p w14:paraId="55CD24DE">
      <w:pPr>
        <w:spacing w:line="360" w:lineRule="auto"/>
        <w:ind w:firstLine="435"/>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20"/>
        <w:tblW w:w="87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2"/>
        <w:gridCol w:w="2032"/>
        <w:gridCol w:w="5722"/>
      </w:tblGrid>
      <w:tr w14:paraId="49AE9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65D720E">
            <w:pPr>
              <w:pStyle w:val="28"/>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条款号</w:t>
            </w:r>
          </w:p>
        </w:tc>
        <w:tc>
          <w:tcPr>
            <w:tcW w:w="2032" w:type="dxa"/>
            <w:vAlign w:val="center"/>
          </w:tcPr>
          <w:p w14:paraId="6C927B99">
            <w:pPr>
              <w:pStyle w:val="28"/>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条款名称</w:t>
            </w:r>
          </w:p>
        </w:tc>
        <w:tc>
          <w:tcPr>
            <w:tcW w:w="5722" w:type="dxa"/>
            <w:vAlign w:val="center"/>
          </w:tcPr>
          <w:p w14:paraId="2F18B29A">
            <w:pPr>
              <w:pStyle w:val="28"/>
              <w:widowControl w:val="0"/>
              <w:spacing w:before="0" w:beforeAutospacing="0" w:after="0" w:afterAutospacing="0" w:line="360" w:lineRule="auto"/>
              <w:rPr>
                <w:rFonts w:ascii="宋体" w:hAnsi="宋体" w:eastAsia="宋体"/>
                <w:bCs w:val="0"/>
                <w:kern w:val="2"/>
                <w:sz w:val="24"/>
                <w:szCs w:val="20"/>
              </w:rPr>
            </w:pPr>
            <w:r>
              <w:rPr>
                <w:rFonts w:hint="eastAsia" w:ascii="宋体" w:hAnsi="宋体" w:eastAsia="宋体"/>
                <w:bCs w:val="0"/>
                <w:kern w:val="2"/>
                <w:sz w:val="24"/>
                <w:szCs w:val="20"/>
              </w:rPr>
              <w:t>内容、说明与要求</w:t>
            </w:r>
          </w:p>
        </w:tc>
      </w:tr>
      <w:tr w14:paraId="690E9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18DE450">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.1</w:t>
            </w:r>
          </w:p>
        </w:tc>
        <w:tc>
          <w:tcPr>
            <w:tcW w:w="2032" w:type="dxa"/>
            <w:vAlign w:val="center"/>
          </w:tcPr>
          <w:p w14:paraId="57B444EA">
            <w:pPr>
              <w:pStyle w:val="28"/>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采购人</w:t>
            </w:r>
          </w:p>
        </w:tc>
        <w:tc>
          <w:tcPr>
            <w:tcW w:w="5722" w:type="dxa"/>
            <w:vAlign w:val="center"/>
          </w:tcPr>
          <w:p w14:paraId="1115E84D">
            <w:pPr>
              <w:pStyle w:val="28"/>
              <w:widowControl w:val="0"/>
              <w:spacing w:before="0" w:beforeAutospacing="0" w:after="0" w:afterAutospacing="0" w:line="360" w:lineRule="auto"/>
              <w:jc w:val="both"/>
              <w:rPr>
                <w:rFonts w:hint="eastAsia" w:ascii="宋体" w:hAnsi="宋体" w:eastAsia="宋体"/>
                <w:b w:val="0"/>
                <w:bCs w:val="0"/>
                <w:kern w:val="2"/>
                <w:sz w:val="24"/>
                <w:szCs w:val="20"/>
                <w:lang w:eastAsia="zh-CN"/>
              </w:rPr>
            </w:pPr>
            <w:r>
              <w:rPr>
                <w:rFonts w:hint="eastAsia" w:ascii="宋体" w:hAnsi="宋体" w:eastAsia="宋体"/>
                <w:b w:val="0"/>
                <w:bCs w:val="0"/>
                <w:sz w:val="24"/>
                <w:szCs w:val="18"/>
                <w:u w:val="single"/>
                <w:lang w:eastAsia="zh-CN"/>
              </w:rPr>
              <w:t>滁州学院教育发展基金会</w:t>
            </w:r>
          </w:p>
        </w:tc>
      </w:tr>
      <w:tr w14:paraId="101E7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BAFCCD8">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.2</w:t>
            </w:r>
          </w:p>
        </w:tc>
        <w:tc>
          <w:tcPr>
            <w:tcW w:w="2032" w:type="dxa"/>
            <w:vAlign w:val="center"/>
          </w:tcPr>
          <w:p w14:paraId="7717F209">
            <w:pPr>
              <w:pStyle w:val="28"/>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采购代理机构</w:t>
            </w:r>
          </w:p>
        </w:tc>
        <w:tc>
          <w:tcPr>
            <w:tcW w:w="5722" w:type="dxa"/>
            <w:vAlign w:val="center"/>
          </w:tcPr>
          <w:p w14:paraId="59B021DD">
            <w:pPr>
              <w:pStyle w:val="28"/>
              <w:widowControl w:val="0"/>
              <w:spacing w:before="0" w:beforeAutospacing="0" w:after="0" w:afterAutospacing="0" w:line="360" w:lineRule="auto"/>
              <w:jc w:val="both"/>
              <w:rPr>
                <w:rFonts w:ascii="宋体" w:hAnsi="宋体" w:eastAsia="宋体"/>
                <w:b w:val="0"/>
                <w:bCs w:val="0"/>
                <w:sz w:val="24"/>
                <w:szCs w:val="18"/>
              </w:rPr>
            </w:pPr>
            <w:r>
              <w:rPr>
                <w:rFonts w:hint="eastAsia" w:ascii="宋体" w:hAnsi="宋体" w:eastAsia="宋体"/>
                <w:b w:val="0"/>
                <w:bCs w:val="0"/>
                <w:sz w:val="24"/>
                <w:szCs w:val="18"/>
                <w:u w:val="single"/>
              </w:rPr>
              <w:t>安徽公共资源交易集团项目管理有限公司</w:t>
            </w:r>
          </w:p>
        </w:tc>
      </w:tr>
      <w:tr w14:paraId="6B07A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9B16FBE">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w:t>
            </w:r>
            <w:r>
              <w:rPr>
                <w:rFonts w:ascii="宋体" w:hAnsi="宋体" w:eastAsia="宋体"/>
                <w:bCs/>
                <w:kern w:val="2"/>
              </w:rPr>
              <w:t>.3</w:t>
            </w:r>
          </w:p>
        </w:tc>
        <w:tc>
          <w:tcPr>
            <w:tcW w:w="2032" w:type="dxa"/>
            <w:vAlign w:val="center"/>
          </w:tcPr>
          <w:p w14:paraId="3950E552">
            <w:pPr>
              <w:pStyle w:val="28"/>
              <w:widowControl w:val="0"/>
              <w:spacing w:before="0" w:beforeAutospacing="0" w:after="0" w:afterAutospacing="0" w:line="360" w:lineRule="auto"/>
              <w:jc w:val="left"/>
              <w:rPr>
                <w:rFonts w:ascii="宋体" w:hAnsi="宋体" w:eastAsia="宋体"/>
                <w:b w:val="0"/>
                <w:bCs w:val="0"/>
                <w:sz w:val="24"/>
              </w:rPr>
            </w:pPr>
            <w:r>
              <w:rPr>
                <w:rFonts w:hint="eastAsia" w:ascii="宋体" w:hAnsi="宋体" w:eastAsia="宋体"/>
                <w:b w:val="0"/>
                <w:bCs w:val="0"/>
                <w:sz w:val="24"/>
              </w:rPr>
              <w:t>监督管理部门</w:t>
            </w:r>
          </w:p>
        </w:tc>
        <w:tc>
          <w:tcPr>
            <w:tcW w:w="5722" w:type="dxa"/>
            <w:vAlign w:val="center"/>
          </w:tcPr>
          <w:p w14:paraId="573E0FD1">
            <w:pPr>
              <w:pStyle w:val="28"/>
              <w:widowControl w:val="0"/>
              <w:spacing w:before="0" w:beforeAutospacing="0" w:after="0" w:afterAutospacing="0" w:line="360" w:lineRule="auto"/>
              <w:jc w:val="both"/>
              <w:rPr>
                <w:rFonts w:ascii="宋体" w:hAnsi="宋体" w:eastAsia="宋体"/>
                <w:b w:val="0"/>
                <w:bCs w:val="0"/>
                <w:sz w:val="24"/>
                <w:u w:val="single"/>
              </w:rPr>
            </w:pPr>
            <w:r>
              <w:rPr>
                <w:rFonts w:hint="eastAsia" w:ascii="宋体" w:hAnsi="宋体" w:eastAsia="宋体"/>
                <w:color w:val="auto"/>
                <w:sz w:val="24"/>
                <w:szCs w:val="18"/>
                <w:highlight w:val="none"/>
                <w:u w:val="single"/>
              </w:rPr>
              <w:t>滁州学院教育发展基金会</w:t>
            </w:r>
            <w:r>
              <w:rPr>
                <w:rFonts w:hint="eastAsia" w:ascii="宋体" w:hAnsi="宋体" w:eastAsia="宋体"/>
                <w:sz w:val="24"/>
                <w:szCs w:val="18"/>
                <w:u w:val="single"/>
                <w:lang w:val="en-US" w:eastAsia="zh-CN"/>
              </w:rPr>
              <w:t xml:space="preserve"> </w:t>
            </w:r>
          </w:p>
        </w:tc>
      </w:tr>
      <w:tr w14:paraId="03548B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4328A05">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.3</w:t>
            </w:r>
          </w:p>
        </w:tc>
        <w:tc>
          <w:tcPr>
            <w:tcW w:w="2032" w:type="dxa"/>
            <w:vAlign w:val="center"/>
          </w:tcPr>
          <w:p w14:paraId="24C3A663">
            <w:pPr>
              <w:pStyle w:val="28"/>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现场考察</w:t>
            </w:r>
          </w:p>
        </w:tc>
        <w:tc>
          <w:tcPr>
            <w:tcW w:w="5722" w:type="dxa"/>
            <w:vAlign w:val="center"/>
          </w:tcPr>
          <w:p w14:paraId="48E4A279">
            <w:pPr>
              <w:spacing w:line="360" w:lineRule="auto"/>
              <w:rPr>
                <w:rFonts w:ascii="宋体" w:hAnsi="宋体" w:eastAsia="宋体"/>
                <w:bCs/>
                <w:sz w:val="24"/>
              </w:rPr>
            </w:pPr>
            <w:r>
              <w:rPr>
                <w:rFonts w:hint="eastAsia" w:ascii="宋体" w:hAnsi="宋体" w:eastAsia="宋体"/>
                <w:bCs/>
                <w:color w:val="auto"/>
                <w:kern w:val="0"/>
                <w:sz w:val="24"/>
                <w:szCs w:val="28"/>
                <w:highlight w:val="none"/>
              </w:rPr>
              <w:sym w:font="Wingdings" w:char="F0FE"/>
            </w:r>
            <w:r>
              <w:rPr>
                <w:rFonts w:hint="eastAsia" w:ascii="宋体" w:hAnsi="宋体" w:eastAsia="宋体"/>
                <w:sz w:val="24"/>
              </w:rPr>
              <w:t>不组织，供应商</w:t>
            </w:r>
            <w:r>
              <w:rPr>
                <w:rFonts w:hint="eastAsia" w:ascii="宋体" w:hAnsi="宋体" w:eastAsia="宋体"/>
                <w:bCs/>
                <w:sz w:val="24"/>
              </w:rPr>
              <w:t>自行考察</w:t>
            </w:r>
          </w:p>
          <w:p w14:paraId="66CDE66C">
            <w:pPr>
              <w:spacing w:line="360" w:lineRule="auto"/>
              <w:rPr>
                <w:rFonts w:ascii="宋体" w:hAnsi="宋体" w:eastAsia="宋体"/>
                <w:bCs/>
                <w:sz w:val="24"/>
              </w:rPr>
            </w:pPr>
            <w:r>
              <w:rPr>
                <w:rFonts w:hint="eastAsia" w:ascii="宋体" w:hAnsi="宋体" w:eastAsia="宋体"/>
                <w:sz w:val="24"/>
              </w:rPr>
              <w:t>□</w:t>
            </w:r>
            <w:r>
              <w:rPr>
                <w:rFonts w:hint="eastAsia" w:ascii="宋体" w:hAnsi="宋体" w:eastAsia="宋体"/>
                <w:bCs/>
                <w:sz w:val="24"/>
              </w:rPr>
              <w:t>统一组织</w:t>
            </w:r>
          </w:p>
          <w:p w14:paraId="7D595DC3">
            <w:pPr>
              <w:spacing w:line="500" w:lineRule="exact"/>
              <w:rPr>
                <w:rFonts w:ascii="宋体" w:hAnsi="宋体" w:eastAsia="宋体"/>
                <w:bCs/>
                <w:color w:val="auto"/>
                <w:sz w:val="24"/>
                <w:highlight w:val="none"/>
                <w:u w:val="single"/>
              </w:rPr>
            </w:pPr>
            <w:r>
              <w:rPr>
                <w:rFonts w:hint="eastAsia" w:ascii="宋体" w:hAnsi="宋体" w:eastAsia="宋体"/>
                <w:bCs/>
                <w:color w:val="auto"/>
                <w:sz w:val="24"/>
                <w:highlight w:val="none"/>
              </w:rPr>
              <w:t>时间：</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年</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月</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日</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时</w:t>
            </w:r>
            <w:r>
              <w:rPr>
                <w:rFonts w:hint="eastAsia"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rPr>
              <w:t>分</w:t>
            </w:r>
          </w:p>
          <w:p w14:paraId="15F74467">
            <w:pPr>
              <w:spacing w:line="500" w:lineRule="exact"/>
              <w:rPr>
                <w:rFonts w:ascii="宋体" w:hAnsi="宋体" w:eastAsia="宋体"/>
                <w:bCs/>
                <w:color w:val="auto"/>
                <w:sz w:val="24"/>
                <w:highlight w:val="none"/>
                <w:u w:val="single"/>
              </w:rPr>
            </w:pPr>
            <w:r>
              <w:rPr>
                <w:rFonts w:hint="eastAsia" w:ascii="宋体" w:hAnsi="宋体" w:eastAsia="宋体"/>
                <w:bCs/>
                <w:color w:val="auto"/>
                <w:sz w:val="24"/>
                <w:highlight w:val="none"/>
              </w:rPr>
              <w:t>地点：</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p>
          <w:p w14:paraId="2A8FDE79">
            <w:pPr>
              <w:spacing w:line="500" w:lineRule="exact"/>
              <w:rPr>
                <w:rFonts w:ascii="宋体" w:hAnsi="宋体" w:eastAsia="宋体"/>
                <w:bCs/>
                <w:color w:val="auto"/>
                <w:sz w:val="24"/>
                <w:highlight w:val="none"/>
                <w:u w:val="single"/>
              </w:rPr>
            </w:pPr>
            <w:r>
              <w:rPr>
                <w:rFonts w:hint="eastAsia" w:ascii="宋体" w:hAnsi="宋体" w:eastAsia="宋体"/>
                <w:bCs/>
                <w:color w:val="auto"/>
                <w:sz w:val="24"/>
                <w:highlight w:val="none"/>
              </w:rPr>
              <w:t>现场考察联系人及联系电话：</w:t>
            </w:r>
            <w:r>
              <w:rPr>
                <w:rFonts w:hint="eastAsia" w:ascii="宋体" w:hAnsi="宋体" w:eastAsia="宋体"/>
                <w:bCs/>
                <w:color w:val="auto"/>
                <w:sz w:val="24"/>
                <w:highlight w:val="none"/>
                <w:u w:val="single"/>
              </w:rPr>
              <w:t xml:space="preserve"> </w:t>
            </w:r>
            <w:r>
              <w:rPr>
                <w:rFonts w:ascii="宋体" w:hAnsi="宋体" w:eastAsia="宋体"/>
                <w:bCs/>
                <w:color w:val="auto"/>
                <w:sz w:val="24"/>
                <w:highlight w:val="none"/>
                <w:u w:val="single"/>
              </w:rPr>
              <w:t xml:space="preserve">    </w:t>
            </w:r>
            <w:r>
              <w:rPr>
                <w:rFonts w:hint="eastAsia" w:ascii="宋体" w:hAnsi="宋体" w:eastAsia="宋体"/>
                <w:bCs/>
                <w:color w:val="auto"/>
                <w:sz w:val="24"/>
                <w:highlight w:val="none"/>
                <w:u w:val="single"/>
                <w:lang w:val="en-US" w:eastAsia="zh-CN"/>
              </w:rPr>
              <w:t>/</w:t>
            </w:r>
            <w:r>
              <w:rPr>
                <w:rFonts w:ascii="宋体" w:hAnsi="宋体" w:eastAsia="宋体"/>
                <w:bCs/>
                <w:color w:val="auto"/>
                <w:sz w:val="24"/>
                <w:highlight w:val="none"/>
                <w:u w:val="single"/>
              </w:rPr>
              <w:t xml:space="preserve">      </w:t>
            </w:r>
          </w:p>
          <w:p w14:paraId="68AE6A3A">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val="0"/>
                <w:sz w:val="24"/>
              </w:rPr>
              <w:t>备注：如供应商未参加采购人统一组织的现场考察，视同放弃现场考察，由此引起的一切责任由供应商自行承担。</w:t>
            </w:r>
          </w:p>
        </w:tc>
      </w:tr>
      <w:tr w14:paraId="4B3E9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6C8DA81">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8</w:t>
            </w:r>
            <w:r>
              <w:rPr>
                <w:rFonts w:ascii="宋体" w:hAnsi="宋体" w:eastAsia="宋体"/>
                <w:bCs/>
                <w:kern w:val="2"/>
              </w:rPr>
              <w:t>.1</w:t>
            </w:r>
          </w:p>
        </w:tc>
        <w:tc>
          <w:tcPr>
            <w:tcW w:w="2032" w:type="dxa"/>
            <w:vAlign w:val="center"/>
          </w:tcPr>
          <w:p w14:paraId="19849864">
            <w:pPr>
              <w:pStyle w:val="28"/>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网上询问截止时间</w:t>
            </w:r>
          </w:p>
        </w:tc>
        <w:tc>
          <w:tcPr>
            <w:tcW w:w="5722" w:type="dxa"/>
            <w:vAlign w:val="center"/>
          </w:tcPr>
          <w:p w14:paraId="444FA32A">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lang w:val="en-US" w:eastAsia="zh-CN"/>
              </w:rPr>
              <w:t>2025</w:t>
            </w:r>
            <w:r>
              <w:rPr>
                <w:rFonts w:ascii="宋体" w:hAnsi="宋体" w:eastAsia="宋体"/>
                <w:b w:val="0"/>
                <w:sz w:val="24"/>
              </w:rPr>
              <w:t>年</w:t>
            </w:r>
            <w:r>
              <w:rPr>
                <w:rFonts w:ascii="宋体" w:hAnsi="宋体" w:eastAsia="宋体"/>
                <w:b w:val="0"/>
                <w:sz w:val="24"/>
                <w:u w:val="single"/>
              </w:rPr>
              <w:t xml:space="preserve"> </w:t>
            </w:r>
            <w:r>
              <w:rPr>
                <w:rFonts w:hint="eastAsia" w:ascii="宋体" w:hAnsi="宋体" w:eastAsia="宋体"/>
                <w:b w:val="0"/>
                <w:sz w:val="24"/>
                <w:u w:val="single"/>
                <w:lang w:val="en-US" w:eastAsia="zh-CN"/>
              </w:rPr>
              <w:t>1</w:t>
            </w:r>
            <w:r>
              <w:rPr>
                <w:rFonts w:ascii="宋体" w:hAnsi="宋体" w:eastAsia="宋体"/>
                <w:b w:val="0"/>
                <w:sz w:val="24"/>
                <w:u w:val="single"/>
              </w:rPr>
              <w:t xml:space="preserve"> </w:t>
            </w:r>
            <w:r>
              <w:rPr>
                <w:rFonts w:ascii="宋体" w:hAnsi="宋体" w:eastAsia="宋体"/>
                <w:b w:val="0"/>
                <w:sz w:val="24"/>
              </w:rPr>
              <w:t>月</w:t>
            </w:r>
            <w:r>
              <w:rPr>
                <w:rFonts w:ascii="宋体" w:hAnsi="宋体" w:eastAsia="宋体"/>
                <w:b w:val="0"/>
                <w:sz w:val="24"/>
                <w:u w:val="single"/>
              </w:rPr>
              <w:t xml:space="preserve"> </w:t>
            </w:r>
            <w:r>
              <w:rPr>
                <w:rFonts w:hint="eastAsia" w:ascii="宋体" w:hAnsi="宋体" w:eastAsia="宋体"/>
                <w:b w:val="0"/>
                <w:sz w:val="24"/>
                <w:u w:val="single"/>
                <w:lang w:val="en-US" w:eastAsia="zh-CN"/>
              </w:rPr>
              <w:t>20</w:t>
            </w:r>
            <w:r>
              <w:rPr>
                <w:rFonts w:ascii="宋体" w:hAnsi="宋体" w:eastAsia="宋体"/>
                <w:b w:val="0"/>
                <w:sz w:val="24"/>
                <w:u w:val="single"/>
              </w:rPr>
              <w:t xml:space="preserve"> </w:t>
            </w:r>
            <w:r>
              <w:rPr>
                <w:rFonts w:ascii="宋体" w:hAnsi="宋体" w:eastAsia="宋体"/>
                <w:b w:val="0"/>
                <w:sz w:val="24"/>
              </w:rPr>
              <w:t>日</w:t>
            </w:r>
            <w:r>
              <w:rPr>
                <w:rFonts w:hint="eastAsia" w:ascii="宋体" w:hAnsi="宋体" w:eastAsia="宋体"/>
                <w:b w:val="0"/>
                <w:sz w:val="24"/>
                <w:u w:val="single"/>
                <w:lang w:val="en-US" w:eastAsia="zh-CN"/>
              </w:rPr>
              <w:t>17</w:t>
            </w:r>
            <w:r>
              <w:rPr>
                <w:rFonts w:ascii="宋体" w:hAnsi="宋体" w:eastAsia="宋体"/>
                <w:b w:val="0"/>
                <w:sz w:val="24"/>
              </w:rPr>
              <w:t>时</w:t>
            </w:r>
            <w:r>
              <w:rPr>
                <w:rFonts w:hint="eastAsia" w:ascii="宋体" w:hAnsi="宋体" w:eastAsia="宋体"/>
                <w:b w:val="0"/>
                <w:sz w:val="24"/>
                <w:u w:val="single"/>
                <w:lang w:val="en-US" w:eastAsia="zh-CN"/>
              </w:rPr>
              <w:t>00</w:t>
            </w:r>
            <w:r>
              <w:rPr>
                <w:rFonts w:hint="eastAsia" w:ascii="宋体" w:hAnsi="宋体" w:eastAsia="宋体"/>
                <w:b w:val="0"/>
                <w:sz w:val="24"/>
              </w:rPr>
              <w:t>分</w:t>
            </w:r>
            <w:bookmarkStart w:id="196" w:name="_GoBack"/>
            <w:bookmarkEnd w:id="196"/>
          </w:p>
        </w:tc>
      </w:tr>
      <w:tr w14:paraId="491EA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1002" w:type="dxa"/>
            <w:vAlign w:val="center"/>
          </w:tcPr>
          <w:p w14:paraId="2A3DA792">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9</w:t>
            </w:r>
            <w:r>
              <w:rPr>
                <w:rFonts w:ascii="宋体" w:hAnsi="宋体" w:eastAsia="宋体"/>
                <w:bCs/>
                <w:kern w:val="2"/>
              </w:rPr>
              <w:t>.1</w:t>
            </w:r>
          </w:p>
        </w:tc>
        <w:tc>
          <w:tcPr>
            <w:tcW w:w="2032" w:type="dxa"/>
            <w:vAlign w:val="center"/>
          </w:tcPr>
          <w:p w14:paraId="1ED81E45">
            <w:pPr>
              <w:pStyle w:val="28"/>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包别划分</w:t>
            </w:r>
          </w:p>
        </w:tc>
        <w:tc>
          <w:tcPr>
            <w:tcW w:w="5722" w:type="dxa"/>
            <w:vAlign w:val="center"/>
          </w:tcPr>
          <w:p w14:paraId="721A0876">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Cs/>
                <w:color w:val="auto"/>
                <w:kern w:val="0"/>
                <w:sz w:val="24"/>
                <w:szCs w:val="28"/>
                <w:highlight w:val="none"/>
              </w:rPr>
              <w:sym w:font="Wingdings" w:char="F0FE"/>
            </w:r>
            <w:r>
              <w:rPr>
                <w:rFonts w:ascii="宋体" w:hAnsi="宋体" w:eastAsia="宋体"/>
                <w:b w:val="0"/>
                <w:sz w:val="24"/>
              </w:rPr>
              <w:t xml:space="preserve">不分包     □分为 </w:t>
            </w:r>
            <w:r>
              <w:rPr>
                <w:rFonts w:hint="eastAsia" w:ascii="宋体" w:hAnsi="宋体" w:eastAsia="宋体"/>
                <w:b w:val="0"/>
                <w:sz w:val="24"/>
                <w:lang w:val="en-US" w:eastAsia="zh-CN"/>
              </w:rPr>
              <w:t>/</w:t>
            </w:r>
            <w:r>
              <w:rPr>
                <w:rFonts w:ascii="宋体" w:hAnsi="宋体" w:eastAsia="宋体"/>
                <w:b w:val="0"/>
                <w:sz w:val="24"/>
              </w:rPr>
              <w:t xml:space="preserve"> 个包</w:t>
            </w:r>
          </w:p>
          <w:p w14:paraId="500B8228">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sz w:val="24"/>
                <w:szCs w:val="24"/>
              </w:rPr>
              <w:t>供应商参加多个包磋商的成交</w:t>
            </w:r>
            <w:r>
              <w:rPr>
                <w:rFonts w:ascii="宋体" w:hAnsi="宋体" w:eastAsia="宋体"/>
                <w:b w:val="0"/>
                <w:bCs w:val="0"/>
                <w:sz w:val="24"/>
                <w:szCs w:val="24"/>
              </w:rPr>
              <w:t>包</w:t>
            </w:r>
            <w:r>
              <w:rPr>
                <w:rFonts w:hint="eastAsia" w:ascii="宋体" w:hAnsi="宋体" w:eastAsia="宋体"/>
                <w:b w:val="0"/>
                <w:bCs w:val="0"/>
                <w:sz w:val="24"/>
                <w:szCs w:val="24"/>
              </w:rPr>
              <w:t>数规定：</w:t>
            </w: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r>
              <w:rPr>
                <w:rFonts w:hint="eastAsia" w:ascii="宋体" w:hAnsi="宋体" w:eastAsia="宋体"/>
                <w:b w:val="0"/>
                <w:bCs w:val="0"/>
                <w:sz w:val="24"/>
                <w:szCs w:val="18"/>
                <w:u w:val="single"/>
                <w:lang w:val="en-US" w:eastAsia="zh-CN"/>
              </w:rPr>
              <w:t>/</w:t>
            </w:r>
            <w:r>
              <w:rPr>
                <w:rFonts w:ascii="宋体" w:hAnsi="宋体" w:eastAsia="宋体"/>
                <w:b w:val="0"/>
                <w:bCs w:val="0"/>
                <w:sz w:val="24"/>
                <w:szCs w:val="18"/>
                <w:u w:val="single"/>
              </w:rPr>
              <w:t xml:space="preserve">         </w:t>
            </w:r>
          </w:p>
        </w:tc>
      </w:tr>
      <w:tr w14:paraId="6840F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002" w:type="dxa"/>
            <w:vAlign w:val="center"/>
          </w:tcPr>
          <w:p w14:paraId="0510BA00">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3.1</w:t>
            </w:r>
          </w:p>
        </w:tc>
        <w:tc>
          <w:tcPr>
            <w:tcW w:w="2032" w:type="dxa"/>
            <w:vAlign w:val="center"/>
          </w:tcPr>
          <w:p w14:paraId="21A298DB">
            <w:pPr>
              <w:pStyle w:val="28"/>
              <w:widowControl w:val="0"/>
              <w:spacing w:before="0" w:beforeAutospacing="0" w:after="0" w:afterAutospacing="0" w:line="360" w:lineRule="auto"/>
              <w:jc w:val="left"/>
              <w:rPr>
                <w:rFonts w:ascii="宋体" w:hAnsi="宋体" w:eastAsia="宋体"/>
                <w:b w:val="0"/>
                <w:sz w:val="24"/>
              </w:rPr>
            </w:pPr>
            <w:r>
              <w:rPr>
                <w:rFonts w:hint="eastAsia" w:ascii="宋体" w:hAnsi="宋体" w:eastAsia="宋体"/>
                <w:b w:val="0"/>
                <w:sz w:val="24"/>
              </w:rPr>
              <w:t>磋商保证金</w:t>
            </w:r>
          </w:p>
        </w:tc>
        <w:tc>
          <w:tcPr>
            <w:tcW w:w="5722" w:type="dxa"/>
            <w:vAlign w:val="center"/>
          </w:tcPr>
          <w:p w14:paraId="6196588B">
            <w:pPr>
              <w:pStyle w:val="28"/>
              <w:widowControl w:val="0"/>
              <w:spacing w:before="0" w:beforeAutospacing="0" w:after="0" w:afterAutospacing="0" w:line="360" w:lineRule="auto"/>
              <w:jc w:val="both"/>
              <w:rPr>
                <w:rFonts w:ascii="宋体" w:hAnsi="宋体" w:eastAsia="宋体" w:cs="@仿宋_GB2312"/>
                <w:b w:val="0"/>
                <w:bCs/>
                <w:kern w:val="0"/>
                <w:sz w:val="24"/>
                <w:szCs w:val="28"/>
                <w:lang w:val="en-US" w:eastAsia="zh-CN" w:bidi="ar-SA"/>
              </w:rPr>
            </w:pPr>
            <w:r>
              <w:rPr>
                <w:rFonts w:hint="eastAsia" w:ascii="宋体" w:hAnsi="宋体" w:eastAsia="宋体"/>
                <w:bCs/>
                <w:color w:val="auto"/>
                <w:kern w:val="0"/>
                <w:sz w:val="24"/>
                <w:szCs w:val="28"/>
                <w:highlight w:val="none"/>
              </w:rPr>
              <w:sym w:font="Wingdings" w:char="F0FE"/>
            </w:r>
            <w:r>
              <w:rPr>
                <w:rFonts w:hint="eastAsia" w:ascii="宋体" w:hAnsi="宋体" w:eastAsia="宋体"/>
                <w:b w:val="0"/>
                <w:sz w:val="24"/>
              </w:rPr>
              <w:t>不收取</w:t>
            </w:r>
          </w:p>
        </w:tc>
      </w:tr>
      <w:tr w14:paraId="367FC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 w:hRule="atLeast"/>
          <w:jc w:val="center"/>
        </w:trPr>
        <w:tc>
          <w:tcPr>
            <w:tcW w:w="1002" w:type="dxa"/>
            <w:vAlign w:val="center"/>
          </w:tcPr>
          <w:p w14:paraId="62BFBA70">
            <w:pPr>
              <w:pStyle w:val="29"/>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13.3</w:t>
            </w:r>
          </w:p>
        </w:tc>
        <w:tc>
          <w:tcPr>
            <w:tcW w:w="2032" w:type="dxa"/>
            <w:vAlign w:val="center"/>
          </w:tcPr>
          <w:p w14:paraId="51C373A7">
            <w:pPr>
              <w:pStyle w:val="28"/>
              <w:widowControl w:val="0"/>
              <w:spacing w:before="0" w:beforeAutospacing="0" w:after="0" w:afterAutospacing="0" w:line="360" w:lineRule="auto"/>
              <w:jc w:val="left"/>
              <w:rPr>
                <w:rFonts w:hint="eastAsia" w:ascii="宋体" w:hAnsi="宋体" w:eastAsia="宋体"/>
                <w:b w:val="0"/>
                <w:sz w:val="24"/>
              </w:rPr>
            </w:pPr>
            <w:r>
              <w:rPr>
                <w:rFonts w:hint="eastAsia" w:ascii="宋体" w:hAnsi="宋体" w:eastAsia="宋体"/>
                <w:b w:val="0"/>
                <w:sz w:val="24"/>
              </w:rPr>
              <w:t>其他不予退还</w:t>
            </w:r>
            <w:r>
              <w:rPr>
                <w:rFonts w:hint="eastAsia" w:ascii="宋体" w:hAnsi="宋体" w:eastAsia="宋体"/>
                <w:b w:val="0"/>
                <w:sz w:val="24"/>
                <w:lang w:val="en-US" w:eastAsia="zh-CN"/>
              </w:rPr>
              <w:t>磋商</w:t>
            </w:r>
            <w:r>
              <w:rPr>
                <w:rFonts w:hint="eastAsia" w:ascii="宋体" w:hAnsi="宋体" w:eastAsia="宋体"/>
                <w:b w:val="0"/>
                <w:sz w:val="24"/>
              </w:rPr>
              <w:t>保证金的情形</w:t>
            </w:r>
          </w:p>
        </w:tc>
        <w:tc>
          <w:tcPr>
            <w:tcW w:w="5722" w:type="dxa"/>
            <w:vAlign w:val="center"/>
          </w:tcPr>
          <w:p w14:paraId="72A5FDCE">
            <w:pPr>
              <w:pStyle w:val="28"/>
              <w:widowControl w:val="0"/>
              <w:spacing w:before="0" w:beforeAutospacing="0" w:after="0" w:afterAutospacing="0" w:line="360" w:lineRule="auto"/>
              <w:jc w:val="both"/>
              <w:rPr>
                <w:rFonts w:hint="eastAsia" w:ascii="宋体" w:hAnsi="宋体" w:eastAsia="宋体"/>
                <w:sz w:val="24"/>
              </w:rPr>
            </w:pPr>
            <w:r>
              <w:rPr>
                <w:rFonts w:hint="eastAsia" w:ascii="宋体" w:hAnsi="宋体" w:eastAsia="宋体"/>
                <w:b w:val="0"/>
                <w:sz w:val="24"/>
                <w:u w:val="single"/>
              </w:rPr>
              <w:t>除因不可抗力或</w:t>
            </w:r>
            <w:r>
              <w:rPr>
                <w:rFonts w:hint="eastAsia" w:ascii="宋体" w:hAnsi="宋体" w:eastAsia="宋体"/>
                <w:b w:val="0"/>
                <w:sz w:val="24"/>
                <w:u w:val="single"/>
                <w:lang w:val="en-US" w:eastAsia="zh-CN"/>
              </w:rPr>
              <w:t>磋商</w:t>
            </w:r>
            <w:r>
              <w:rPr>
                <w:rFonts w:hint="eastAsia" w:ascii="宋体" w:hAnsi="宋体" w:eastAsia="宋体"/>
                <w:b w:val="0"/>
                <w:sz w:val="24"/>
                <w:u w:val="single"/>
              </w:rPr>
              <w:t>文件认可的情形以外，</w:t>
            </w:r>
            <w:r>
              <w:rPr>
                <w:rFonts w:hint="eastAsia" w:ascii="宋体" w:hAnsi="宋体" w:eastAsia="宋体"/>
                <w:b w:val="0"/>
                <w:sz w:val="24"/>
                <w:u w:val="single"/>
                <w:lang w:val="en-US" w:eastAsia="zh-CN"/>
              </w:rPr>
              <w:t>成交供应商</w:t>
            </w:r>
            <w:r>
              <w:rPr>
                <w:rFonts w:hint="eastAsia" w:ascii="宋体" w:hAnsi="宋体" w:eastAsia="宋体"/>
                <w:b w:val="0"/>
                <w:sz w:val="24"/>
                <w:u w:val="single"/>
              </w:rPr>
              <w:t>放弃</w:t>
            </w:r>
            <w:r>
              <w:rPr>
                <w:rFonts w:hint="eastAsia" w:ascii="宋体" w:hAnsi="宋体" w:eastAsia="宋体"/>
                <w:b w:val="0"/>
                <w:sz w:val="24"/>
                <w:u w:val="single"/>
                <w:lang w:val="en-US" w:eastAsia="zh-CN"/>
              </w:rPr>
              <w:t>成交</w:t>
            </w:r>
            <w:r>
              <w:rPr>
                <w:rFonts w:hint="eastAsia" w:ascii="宋体" w:hAnsi="宋体" w:eastAsia="宋体"/>
                <w:b w:val="0"/>
                <w:sz w:val="24"/>
                <w:u w:val="single"/>
              </w:rPr>
              <w:t>资格的</w:t>
            </w:r>
          </w:p>
        </w:tc>
      </w:tr>
      <w:tr w14:paraId="4E4565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C923759">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4.1</w:t>
            </w:r>
          </w:p>
        </w:tc>
        <w:tc>
          <w:tcPr>
            <w:tcW w:w="2032" w:type="dxa"/>
            <w:vAlign w:val="center"/>
          </w:tcPr>
          <w:p w14:paraId="09C9854C">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磋商有效期</w:t>
            </w:r>
          </w:p>
        </w:tc>
        <w:tc>
          <w:tcPr>
            <w:tcW w:w="5722" w:type="dxa"/>
            <w:vAlign w:val="center"/>
          </w:tcPr>
          <w:p w14:paraId="7E675F42">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 xml:space="preserve">  90  </w:t>
            </w:r>
            <w:r>
              <w:rPr>
                <w:rFonts w:hint="eastAsia" w:ascii="宋体" w:hAnsi="宋体" w:eastAsia="宋体"/>
                <w:b w:val="0"/>
                <w:sz w:val="24"/>
              </w:rPr>
              <w:t>日历日</w:t>
            </w:r>
          </w:p>
        </w:tc>
      </w:tr>
      <w:tr w14:paraId="098B6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47466316">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5.1</w:t>
            </w:r>
          </w:p>
        </w:tc>
        <w:tc>
          <w:tcPr>
            <w:tcW w:w="2032" w:type="dxa"/>
            <w:vAlign w:val="center"/>
          </w:tcPr>
          <w:p w14:paraId="4386A778">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响应文件要求</w:t>
            </w:r>
          </w:p>
        </w:tc>
        <w:tc>
          <w:tcPr>
            <w:tcW w:w="5722" w:type="dxa"/>
            <w:vAlign w:val="center"/>
          </w:tcPr>
          <w:p w14:paraId="00C9054F">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加密电子响应文件</w:t>
            </w:r>
          </w:p>
        </w:tc>
      </w:tr>
      <w:tr w14:paraId="0A9B6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6BD1613">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5.3</w:t>
            </w:r>
          </w:p>
        </w:tc>
        <w:tc>
          <w:tcPr>
            <w:tcW w:w="2032" w:type="dxa"/>
            <w:vAlign w:val="center"/>
          </w:tcPr>
          <w:p w14:paraId="6FD4C1F0">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磋商现场提交的其他材料要求</w:t>
            </w:r>
          </w:p>
        </w:tc>
        <w:tc>
          <w:tcPr>
            <w:tcW w:w="5722" w:type="dxa"/>
            <w:vAlign w:val="center"/>
          </w:tcPr>
          <w:p w14:paraId="61417C05">
            <w:pPr>
              <w:pStyle w:val="28"/>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bCs w:val="0"/>
                <w:sz w:val="24"/>
                <w:szCs w:val="18"/>
                <w:u w:val="single"/>
              </w:rPr>
              <w:t xml:space="preserve"> </w:t>
            </w:r>
            <w:r>
              <w:rPr>
                <w:rFonts w:ascii="宋体" w:hAnsi="宋体" w:eastAsia="宋体"/>
                <w:b w:val="0"/>
                <w:bCs w:val="0"/>
                <w:sz w:val="24"/>
                <w:szCs w:val="18"/>
                <w:u w:val="single"/>
              </w:rPr>
              <w:t xml:space="preserve">     </w:t>
            </w:r>
            <w:r>
              <w:rPr>
                <w:rFonts w:hint="eastAsia" w:ascii="宋体" w:hAnsi="宋体" w:eastAsia="宋体"/>
                <w:b w:val="0"/>
                <w:bCs w:val="0"/>
                <w:sz w:val="24"/>
                <w:szCs w:val="18"/>
                <w:u w:val="single"/>
                <w:lang w:val="en-US" w:eastAsia="zh-CN"/>
              </w:rPr>
              <w:t>/</w:t>
            </w:r>
            <w:r>
              <w:rPr>
                <w:rFonts w:ascii="宋体" w:hAnsi="宋体" w:eastAsia="宋体"/>
                <w:b w:val="0"/>
                <w:bCs w:val="0"/>
                <w:sz w:val="24"/>
                <w:szCs w:val="18"/>
                <w:u w:val="single"/>
              </w:rPr>
              <w:t xml:space="preserve">        </w:t>
            </w:r>
          </w:p>
        </w:tc>
      </w:tr>
      <w:tr w14:paraId="10A1D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5713859D">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6.1</w:t>
            </w:r>
          </w:p>
        </w:tc>
        <w:tc>
          <w:tcPr>
            <w:tcW w:w="2032" w:type="dxa"/>
            <w:vAlign w:val="center"/>
          </w:tcPr>
          <w:p w14:paraId="2D981901">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响应文件提交截止时间</w:t>
            </w:r>
          </w:p>
        </w:tc>
        <w:tc>
          <w:tcPr>
            <w:tcW w:w="5722" w:type="dxa"/>
            <w:vAlign w:val="center"/>
          </w:tcPr>
          <w:p w14:paraId="0C7648C0">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详见磋商邀请</w:t>
            </w:r>
          </w:p>
        </w:tc>
      </w:tr>
      <w:tr w14:paraId="047B5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2A519B59">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w:t>
            </w:r>
            <w:r>
              <w:rPr>
                <w:rFonts w:ascii="宋体" w:hAnsi="宋体" w:eastAsia="宋体"/>
                <w:bCs/>
                <w:kern w:val="2"/>
              </w:rPr>
              <w:t>7.3</w:t>
            </w:r>
          </w:p>
        </w:tc>
        <w:tc>
          <w:tcPr>
            <w:tcW w:w="2032" w:type="dxa"/>
            <w:vAlign w:val="center"/>
          </w:tcPr>
          <w:p w14:paraId="6EDB6128">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响应文件解密时间</w:t>
            </w:r>
          </w:p>
        </w:tc>
        <w:tc>
          <w:tcPr>
            <w:tcW w:w="5722" w:type="dxa"/>
            <w:vAlign w:val="center"/>
          </w:tcPr>
          <w:p w14:paraId="09DDADD6">
            <w:pPr>
              <w:pStyle w:val="28"/>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u w:val="single"/>
              </w:rPr>
              <w:t>响应文件提交截止时间后3</w:t>
            </w:r>
            <w:r>
              <w:rPr>
                <w:rFonts w:ascii="宋体" w:hAnsi="宋体" w:eastAsia="宋体"/>
                <w:b w:val="0"/>
                <w:sz w:val="24"/>
                <w:u w:val="single"/>
              </w:rPr>
              <w:t>0</w:t>
            </w:r>
            <w:r>
              <w:rPr>
                <w:rFonts w:hint="eastAsia" w:ascii="宋体" w:hAnsi="宋体" w:eastAsia="宋体"/>
                <w:b w:val="0"/>
                <w:sz w:val="24"/>
                <w:u w:val="single"/>
              </w:rPr>
              <w:t>分钟内（以电子交易系统解密倒计时为准）</w:t>
            </w:r>
          </w:p>
        </w:tc>
      </w:tr>
      <w:tr w14:paraId="455D7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restart"/>
            <w:vAlign w:val="center"/>
          </w:tcPr>
          <w:p w14:paraId="0DEF3D3B">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19</w:t>
            </w:r>
            <w:r>
              <w:rPr>
                <w:rFonts w:ascii="宋体" w:hAnsi="宋体" w:eastAsia="宋体"/>
                <w:bCs/>
                <w:kern w:val="2"/>
              </w:rPr>
              <w:t>.1</w:t>
            </w:r>
          </w:p>
        </w:tc>
        <w:tc>
          <w:tcPr>
            <w:tcW w:w="2032" w:type="dxa"/>
            <w:vAlign w:val="center"/>
          </w:tcPr>
          <w:p w14:paraId="714F17AE">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磋商时间</w:t>
            </w:r>
          </w:p>
        </w:tc>
        <w:tc>
          <w:tcPr>
            <w:tcW w:w="5722" w:type="dxa"/>
            <w:vAlign w:val="center"/>
          </w:tcPr>
          <w:p w14:paraId="06E07A04">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详见磋商邀请</w:t>
            </w:r>
          </w:p>
        </w:tc>
      </w:tr>
      <w:tr w14:paraId="19BCD6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continue"/>
            <w:vAlign w:val="center"/>
          </w:tcPr>
          <w:p w14:paraId="06697E3D">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p>
        </w:tc>
        <w:tc>
          <w:tcPr>
            <w:tcW w:w="2032" w:type="dxa"/>
            <w:vAlign w:val="center"/>
          </w:tcPr>
          <w:p w14:paraId="417ADAFE">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磋商地点</w:t>
            </w:r>
          </w:p>
        </w:tc>
        <w:tc>
          <w:tcPr>
            <w:tcW w:w="5722" w:type="dxa"/>
            <w:vAlign w:val="center"/>
          </w:tcPr>
          <w:p w14:paraId="762299F5">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u w:val="single"/>
              </w:rPr>
              <w:t>详见磋商邀请</w:t>
            </w:r>
          </w:p>
        </w:tc>
      </w:tr>
      <w:tr w14:paraId="581F1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353B9A2">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19.3</w:t>
            </w:r>
          </w:p>
        </w:tc>
        <w:tc>
          <w:tcPr>
            <w:tcW w:w="2032" w:type="dxa"/>
            <w:vAlign w:val="center"/>
          </w:tcPr>
          <w:p w14:paraId="47596490">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评审方法</w:t>
            </w:r>
          </w:p>
        </w:tc>
        <w:tc>
          <w:tcPr>
            <w:tcW w:w="5722" w:type="dxa"/>
            <w:vAlign w:val="center"/>
          </w:tcPr>
          <w:p w14:paraId="349A4D79">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sym w:font="Wingdings" w:char="F0FE"/>
            </w:r>
            <w:r>
              <w:rPr>
                <w:rFonts w:hint="eastAsia" w:ascii="宋体" w:hAnsi="宋体" w:eastAsia="宋体"/>
                <w:b w:val="0"/>
                <w:sz w:val="24"/>
                <w:u w:val="single"/>
              </w:rPr>
              <w:t>综合评分法</w:t>
            </w:r>
          </w:p>
        </w:tc>
      </w:tr>
      <w:tr w14:paraId="05BE9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restart"/>
            <w:vAlign w:val="center"/>
          </w:tcPr>
          <w:p w14:paraId="402C6637">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24</w:t>
            </w:r>
            <w:r>
              <w:rPr>
                <w:rFonts w:ascii="宋体" w:hAnsi="宋体" w:eastAsia="宋体"/>
                <w:bCs/>
                <w:kern w:val="2"/>
              </w:rPr>
              <w:t>.</w:t>
            </w:r>
            <w:r>
              <w:rPr>
                <w:rFonts w:hint="eastAsia" w:ascii="宋体" w:hAnsi="宋体" w:eastAsia="宋体"/>
                <w:bCs/>
                <w:kern w:val="2"/>
              </w:rPr>
              <w:t>1</w:t>
            </w:r>
          </w:p>
        </w:tc>
        <w:tc>
          <w:tcPr>
            <w:tcW w:w="2032" w:type="dxa"/>
            <w:vMerge w:val="restart"/>
            <w:vAlign w:val="center"/>
          </w:tcPr>
          <w:p w14:paraId="1B827762">
            <w:pPr>
              <w:pStyle w:val="28"/>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eastAsiaTheme="minorEastAsia"/>
                <w:b w:val="0"/>
                <w:sz w:val="24"/>
              </w:rPr>
              <w:t>确定成交候选供应商和成交供应商</w:t>
            </w:r>
          </w:p>
        </w:tc>
        <w:tc>
          <w:tcPr>
            <w:tcW w:w="5722" w:type="dxa"/>
            <w:vAlign w:val="center"/>
          </w:tcPr>
          <w:p w14:paraId="34EB2260">
            <w:pPr>
              <w:pStyle w:val="28"/>
              <w:widowControl w:val="0"/>
              <w:spacing w:before="0" w:beforeAutospacing="0" w:after="0" w:afterAutospacing="0" w:line="360" w:lineRule="auto"/>
              <w:jc w:val="both"/>
              <w:rPr>
                <w:rFonts w:ascii="宋体" w:hAnsi="宋体" w:eastAsia="宋体"/>
                <w:b w:val="0"/>
                <w:sz w:val="24"/>
                <w:u w:val="single"/>
              </w:rPr>
            </w:pPr>
            <w:r>
              <w:rPr>
                <w:rFonts w:hint="eastAsia" w:ascii="宋体" w:hAnsi="宋体" w:eastAsia="宋体"/>
                <w:b w:val="0"/>
                <w:sz w:val="24"/>
              </w:rPr>
              <w:t>磋商小组推荐成交</w:t>
            </w:r>
            <w:r>
              <w:rPr>
                <w:rFonts w:ascii="宋体" w:hAnsi="宋体" w:eastAsia="宋体"/>
                <w:b w:val="0"/>
                <w:sz w:val="24"/>
              </w:rPr>
              <w:t>候选</w:t>
            </w:r>
            <w:r>
              <w:rPr>
                <w:rFonts w:hint="eastAsia" w:ascii="宋体" w:hAnsi="宋体" w:eastAsia="宋体"/>
                <w:b w:val="0"/>
                <w:sz w:val="24"/>
              </w:rPr>
              <w:t>供应商的</w:t>
            </w:r>
            <w:r>
              <w:rPr>
                <w:rFonts w:ascii="宋体" w:hAnsi="宋体" w:eastAsia="宋体"/>
                <w:b w:val="0"/>
                <w:sz w:val="24"/>
              </w:rPr>
              <w:t>数量</w:t>
            </w:r>
            <w:r>
              <w:rPr>
                <w:rFonts w:hint="eastAsia" w:ascii="宋体" w:hAnsi="宋体" w:eastAsia="宋体"/>
                <w:b w:val="0"/>
                <w:sz w:val="24"/>
              </w:rPr>
              <w:t>：</w:t>
            </w:r>
            <w:r>
              <w:rPr>
                <w:rFonts w:ascii="宋体" w:hAnsi="宋体" w:eastAsia="宋体"/>
                <w:b w:val="0"/>
                <w:sz w:val="24"/>
                <w:u w:val="single"/>
              </w:rPr>
              <w:t>1-3家</w:t>
            </w:r>
          </w:p>
        </w:tc>
      </w:tr>
      <w:tr w14:paraId="1AA049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Merge w:val="continue"/>
            <w:vAlign w:val="center"/>
          </w:tcPr>
          <w:p w14:paraId="563E97C6">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p>
        </w:tc>
        <w:tc>
          <w:tcPr>
            <w:tcW w:w="2032" w:type="dxa"/>
            <w:vMerge w:val="continue"/>
            <w:vAlign w:val="center"/>
          </w:tcPr>
          <w:p w14:paraId="659286B2">
            <w:pPr>
              <w:pStyle w:val="28"/>
              <w:widowControl w:val="0"/>
              <w:spacing w:before="0" w:beforeAutospacing="0" w:after="0" w:afterAutospacing="0" w:line="360" w:lineRule="auto"/>
              <w:jc w:val="both"/>
              <w:rPr>
                <w:rFonts w:ascii="宋体" w:hAnsi="宋体" w:eastAsia="宋体"/>
                <w:b w:val="0"/>
                <w:sz w:val="24"/>
              </w:rPr>
            </w:pPr>
          </w:p>
        </w:tc>
        <w:tc>
          <w:tcPr>
            <w:tcW w:w="5722" w:type="dxa"/>
            <w:vAlign w:val="center"/>
          </w:tcPr>
          <w:p w14:paraId="5A53C5E7">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确定成交供应商：</w:t>
            </w:r>
          </w:p>
          <w:p w14:paraId="12CDEAC6">
            <w:pPr>
              <w:pStyle w:val="28"/>
              <w:widowControl w:val="0"/>
              <w:spacing w:before="0" w:beforeAutospacing="0" w:after="0" w:afterAutospacing="0" w:line="360" w:lineRule="auto"/>
              <w:jc w:val="both"/>
              <w:rPr>
                <w:rFonts w:ascii="宋体" w:hAnsi="宋体" w:eastAsia="宋体"/>
                <w:b w:val="0"/>
                <w:sz w:val="24"/>
              </w:rPr>
            </w:pPr>
            <w:r>
              <w:rPr>
                <w:rFonts w:hint="eastAsia" w:asciiTheme="minorEastAsia" w:hAnsiTheme="minorEastAsia"/>
                <w:b w:val="0"/>
                <w:sz w:val="24"/>
                <w:szCs w:val="24"/>
              </w:rPr>
              <w:sym w:font="Wingdings" w:char="F0FE"/>
            </w:r>
            <w:r>
              <w:rPr>
                <w:rFonts w:hint="eastAsia" w:ascii="宋体" w:hAnsi="宋体" w:eastAsia="宋体"/>
                <w:b w:val="0"/>
                <w:sz w:val="24"/>
              </w:rPr>
              <w:t xml:space="preserve">采购人委托磋商小组确定 </w:t>
            </w:r>
            <w:r>
              <w:rPr>
                <w:rFonts w:ascii="宋体" w:hAnsi="宋体" w:eastAsia="宋体"/>
                <w:b w:val="0"/>
                <w:sz w:val="24"/>
              </w:rPr>
              <w:t xml:space="preserve">   </w:t>
            </w:r>
            <w:r>
              <w:rPr>
                <w:rFonts w:hint="eastAsia" w:ascii="宋体" w:hAnsi="宋体" w:eastAsia="宋体"/>
                <w:b w:val="0"/>
                <w:sz w:val="24"/>
              </w:rPr>
              <w:t xml:space="preserve"> □采购人确定</w:t>
            </w:r>
          </w:p>
        </w:tc>
      </w:tr>
      <w:tr w14:paraId="44257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FCAFE1A">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28</w:t>
            </w:r>
            <w:r>
              <w:rPr>
                <w:rFonts w:ascii="宋体" w:hAnsi="宋体" w:eastAsia="宋体"/>
                <w:bCs/>
                <w:kern w:val="2"/>
              </w:rPr>
              <w:t>.1</w:t>
            </w:r>
          </w:p>
        </w:tc>
        <w:tc>
          <w:tcPr>
            <w:tcW w:w="2032" w:type="dxa"/>
            <w:vAlign w:val="center"/>
          </w:tcPr>
          <w:p w14:paraId="5A72AEA7">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成交通知书发出的形式</w:t>
            </w:r>
          </w:p>
        </w:tc>
        <w:tc>
          <w:tcPr>
            <w:tcW w:w="5722" w:type="dxa"/>
            <w:vAlign w:val="center"/>
          </w:tcPr>
          <w:p w14:paraId="70AF1C1A">
            <w:pPr>
              <w:pStyle w:val="28"/>
              <w:widowControl w:val="0"/>
              <w:spacing w:before="0" w:beforeAutospacing="0" w:after="0" w:afterAutospacing="0" w:line="360" w:lineRule="auto"/>
              <w:jc w:val="both"/>
              <w:rPr>
                <w:rFonts w:hint="eastAsia" w:ascii="宋体" w:hAnsi="宋体" w:eastAsia="宋体"/>
                <w:b w:val="0"/>
                <w:sz w:val="24"/>
                <w:szCs w:val="24"/>
              </w:rPr>
            </w:pPr>
            <w:r>
              <w:rPr>
                <w:rFonts w:hint="eastAsia" w:ascii="宋体" w:hAnsi="宋体" w:eastAsia="宋体"/>
                <w:b w:val="0"/>
                <w:sz w:val="24"/>
                <w:szCs w:val="24"/>
              </w:rPr>
              <w:t xml:space="preserve">□书面 </w:t>
            </w:r>
            <w:r>
              <w:rPr>
                <w:rFonts w:ascii="宋体" w:hAnsi="宋体" w:eastAsia="宋体"/>
                <w:b w:val="0"/>
                <w:sz w:val="24"/>
                <w:szCs w:val="24"/>
              </w:rPr>
              <w:t xml:space="preserve">    </w:t>
            </w:r>
            <w:r>
              <w:rPr>
                <w:rFonts w:hint="eastAsia" w:ascii="宋体" w:hAnsi="宋体" w:eastAsia="宋体"/>
                <w:b w:val="0"/>
                <w:sz w:val="24"/>
                <w:szCs w:val="24"/>
              </w:rPr>
              <w:sym w:font="Wingdings" w:char="F0FE"/>
            </w:r>
            <w:r>
              <w:rPr>
                <w:rFonts w:hint="eastAsia" w:ascii="宋体" w:hAnsi="宋体" w:eastAsia="宋体"/>
                <w:b w:val="0"/>
                <w:sz w:val="24"/>
                <w:szCs w:val="24"/>
              </w:rPr>
              <w:t>数据电文</w:t>
            </w:r>
          </w:p>
          <w:p w14:paraId="38568099">
            <w:pPr>
              <w:pStyle w:val="28"/>
              <w:widowControl w:val="0"/>
              <w:spacing w:before="0" w:beforeAutospacing="0" w:after="0" w:afterAutospacing="0" w:line="360" w:lineRule="auto"/>
              <w:jc w:val="both"/>
              <w:rPr>
                <w:rFonts w:hint="eastAsia" w:ascii="宋体" w:hAnsi="宋体" w:eastAsia="宋体"/>
                <w:b w:val="0"/>
                <w:sz w:val="24"/>
                <w:szCs w:val="24"/>
              </w:rPr>
            </w:pPr>
            <w:r>
              <w:rPr>
                <w:rFonts w:hint="eastAsia" w:ascii="宋体" w:hAnsi="宋体" w:eastAsia="宋体"/>
                <w:b w:val="0"/>
                <w:sz w:val="24"/>
                <w:szCs w:val="24"/>
              </w:rPr>
              <w:t>特别提醒：本项目发布成交结果公告的同时，通过电子交易系统向成交供应商发出成交通知书。成交通知书发出视为已送达，供应商应主动登录电子交易系统查询，采购代理机构不承担供应商未及时关注相关信息引发的相关责任。</w:t>
            </w:r>
          </w:p>
        </w:tc>
      </w:tr>
      <w:tr w14:paraId="3AC691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1D2A790">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29</w:t>
            </w:r>
            <w:r>
              <w:rPr>
                <w:rFonts w:ascii="宋体" w:hAnsi="宋体" w:eastAsia="宋体"/>
                <w:bCs/>
                <w:kern w:val="2"/>
              </w:rPr>
              <w:t>.1</w:t>
            </w:r>
          </w:p>
        </w:tc>
        <w:tc>
          <w:tcPr>
            <w:tcW w:w="2032" w:type="dxa"/>
            <w:vAlign w:val="center"/>
          </w:tcPr>
          <w:p w14:paraId="07D3D70E">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告知磋商结果的形式</w:t>
            </w:r>
          </w:p>
        </w:tc>
        <w:tc>
          <w:tcPr>
            <w:tcW w:w="5722" w:type="dxa"/>
            <w:vAlign w:val="center"/>
          </w:tcPr>
          <w:p w14:paraId="52BD694F">
            <w:pPr>
              <w:pStyle w:val="28"/>
              <w:widowControl w:val="0"/>
              <w:spacing w:before="0" w:beforeAutospacing="0" w:after="0" w:afterAutospacing="0" w:line="360" w:lineRule="auto"/>
              <w:jc w:val="both"/>
              <w:rPr>
                <w:rFonts w:ascii="宋体" w:hAnsi="宋体" w:eastAsia="宋体"/>
                <w:b w:val="0"/>
                <w:bCs w:val="0"/>
                <w:sz w:val="24"/>
                <w:szCs w:val="24"/>
              </w:rPr>
            </w:pPr>
            <w:r>
              <w:rPr>
                <w:rFonts w:hint="eastAsia" w:asciiTheme="minorEastAsia" w:hAnsiTheme="minorEastAsia"/>
                <w:b w:val="0"/>
                <w:sz w:val="24"/>
                <w:szCs w:val="24"/>
              </w:rPr>
              <w:sym w:font="Wingdings" w:char="F0FE"/>
            </w:r>
            <w:r>
              <w:rPr>
                <w:rFonts w:hint="eastAsia" w:ascii="宋体" w:hAnsi="宋体" w:eastAsia="宋体"/>
                <w:b w:val="0"/>
                <w:bCs w:val="0"/>
                <w:sz w:val="24"/>
                <w:szCs w:val="24"/>
              </w:rPr>
              <w:t>供应商自行登录电子</w:t>
            </w:r>
            <w:r>
              <w:rPr>
                <w:rFonts w:hint="eastAsia" w:ascii="宋体" w:hAnsi="宋体" w:eastAsia="宋体"/>
                <w:b w:val="0"/>
                <w:bCs w:val="0"/>
                <w:sz w:val="24"/>
                <w:szCs w:val="24"/>
                <w:lang w:val="en-US" w:eastAsia="zh-CN"/>
              </w:rPr>
              <w:t>交易</w:t>
            </w:r>
            <w:r>
              <w:rPr>
                <w:rFonts w:hint="eastAsia" w:ascii="宋体" w:hAnsi="宋体" w:eastAsia="宋体"/>
                <w:b w:val="0"/>
                <w:bCs w:val="0"/>
                <w:sz w:val="24"/>
                <w:szCs w:val="24"/>
              </w:rPr>
              <w:t>系统查看</w:t>
            </w:r>
          </w:p>
          <w:p w14:paraId="797009C8">
            <w:pPr>
              <w:pStyle w:val="28"/>
              <w:widowControl w:val="0"/>
              <w:spacing w:before="0" w:beforeAutospacing="0" w:after="0" w:afterAutospacing="0" w:line="360" w:lineRule="auto"/>
              <w:jc w:val="both"/>
              <w:rPr>
                <w:rFonts w:ascii="宋体" w:hAnsi="宋体" w:eastAsia="宋体"/>
                <w:b w:val="0"/>
                <w:bCs w:val="0"/>
                <w:sz w:val="24"/>
                <w:szCs w:val="24"/>
              </w:rPr>
            </w:pPr>
            <w:r>
              <w:rPr>
                <w:rFonts w:hint="eastAsia" w:ascii="宋体" w:hAnsi="宋体" w:eastAsia="宋体"/>
                <w:b w:val="0"/>
                <w:sz w:val="24"/>
              </w:rPr>
              <w:t>□磋商现场告知</w:t>
            </w:r>
          </w:p>
        </w:tc>
      </w:tr>
      <w:tr w14:paraId="05DCE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120E7F3">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30</w:t>
            </w:r>
            <w:r>
              <w:rPr>
                <w:rFonts w:ascii="宋体" w:hAnsi="宋体" w:eastAsia="宋体"/>
                <w:bCs/>
                <w:kern w:val="2"/>
              </w:rPr>
              <w:t>.1</w:t>
            </w:r>
          </w:p>
        </w:tc>
        <w:tc>
          <w:tcPr>
            <w:tcW w:w="2032" w:type="dxa"/>
            <w:vAlign w:val="center"/>
          </w:tcPr>
          <w:p w14:paraId="09E4FBE7">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履约保证金</w:t>
            </w:r>
          </w:p>
        </w:tc>
        <w:tc>
          <w:tcPr>
            <w:tcW w:w="5722" w:type="dxa"/>
          </w:tcPr>
          <w:p w14:paraId="44E9C47E">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78F97127">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免收</w:t>
            </w:r>
          </w:p>
          <w:p w14:paraId="1FC0FE36">
            <w:pPr>
              <w:spacing w:line="360" w:lineRule="auto"/>
              <w:rPr>
                <w:rFonts w:ascii="宋体" w:hAnsi="宋体" w:eastAsia="宋体"/>
                <w:bCs/>
                <w:kern w:val="0"/>
                <w:sz w:val="24"/>
                <w:szCs w:val="28"/>
              </w:rPr>
            </w:pPr>
            <w:r>
              <w:rPr>
                <w:rFonts w:hint="eastAsia" w:ascii="宋体" w:hAnsi="宋体" w:eastAsia="宋体"/>
                <w:bCs/>
                <w:color w:val="auto"/>
                <w:kern w:val="0"/>
                <w:sz w:val="24"/>
                <w:szCs w:val="28"/>
                <w:highlight w:val="none"/>
              </w:rPr>
              <w:sym w:font="Wingdings" w:char="F0FE"/>
            </w:r>
            <w:r>
              <w:rPr>
                <w:rFonts w:hint="eastAsia" w:ascii="宋体" w:hAnsi="宋体" w:eastAsia="宋体"/>
                <w:bCs/>
                <w:kern w:val="0"/>
                <w:sz w:val="24"/>
                <w:szCs w:val="28"/>
              </w:rPr>
              <w:t>合同价的</w:t>
            </w:r>
            <w:r>
              <w:rPr>
                <w:rFonts w:ascii="宋体" w:hAnsi="宋体" w:eastAsia="宋体"/>
                <w:bCs/>
                <w:kern w:val="0"/>
                <w:sz w:val="24"/>
                <w:szCs w:val="28"/>
                <w:u w:val="single"/>
              </w:rPr>
              <w:t xml:space="preserve"> </w:t>
            </w:r>
            <w:r>
              <w:rPr>
                <w:rFonts w:hint="eastAsia" w:ascii="宋体" w:hAnsi="宋体" w:eastAsia="宋体"/>
                <w:bCs/>
                <w:kern w:val="0"/>
                <w:sz w:val="24"/>
                <w:szCs w:val="28"/>
                <w:u w:val="single"/>
                <w:lang w:val="en-US" w:eastAsia="zh-CN"/>
              </w:rPr>
              <w:t>2.5</w:t>
            </w:r>
            <w:r>
              <w:rPr>
                <w:rFonts w:ascii="宋体" w:hAnsi="宋体" w:eastAsia="宋体"/>
                <w:bCs/>
                <w:kern w:val="0"/>
                <w:sz w:val="24"/>
                <w:szCs w:val="28"/>
                <w:u w:val="single"/>
              </w:rPr>
              <w:t xml:space="preserve">  </w:t>
            </w:r>
            <w:r>
              <w:rPr>
                <w:rFonts w:ascii="宋体" w:hAnsi="宋体" w:eastAsia="宋体"/>
                <w:bCs/>
                <w:kern w:val="0"/>
                <w:sz w:val="24"/>
                <w:szCs w:val="28"/>
              </w:rPr>
              <w:t>%</w:t>
            </w:r>
          </w:p>
          <w:p w14:paraId="268F2CE6">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bCs/>
                <w:kern w:val="0"/>
                <w:sz w:val="24"/>
                <w:szCs w:val="28"/>
                <w:u w:val="single"/>
                <w:lang w:val="en-US" w:eastAsia="zh-CN"/>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2ECB1B21">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p>
          <w:p w14:paraId="49CA36FF">
            <w:pPr>
              <w:spacing w:line="360" w:lineRule="auto"/>
              <w:rPr>
                <w:rFonts w:ascii="宋体" w:hAnsi="宋体" w:eastAsia="宋体"/>
                <w:bCs/>
                <w:color w:val="auto"/>
                <w:kern w:val="0"/>
                <w:sz w:val="24"/>
                <w:szCs w:val="28"/>
                <w:highlight w:val="none"/>
              </w:rPr>
            </w:pPr>
            <w:r>
              <w:rPr>
                <w:rFonts w:hint="eastAsia" w:ascii="宋体" w:hAnsi="宋体" w:eastAsia="宋体"/>
                <w:bCs/>
                <w:color w:val="auto"/>
                <w:kern w:val="0"/>
                <w:sz w:val="24"/>
                <w:szCs w:val="28"/>
                <w:highlight w:val="none"/>
              </w:rPr>
              <w:sym w:font="Wingdings" w:char="F0FE"/>
            </w:r>
            <w:r>
              <w:rPr>
                <w:rFonts w:ascii="宋体" w:hAnsi="宋体" w:eastAsia="宋体"/>
                <w:bCs/>
                <w:color w:val="auto"/>
                <w:kern w:val="0"/>
                <w:sz w:val="24"/>
                <w:szCs w:val="28"/>
                <w:highlight w:val="none"/>
              </w:rPr>
              <w:t>转账/电汇</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F0FE"/>
            </w:r>
            <w:r>
              <w:rPr>
                <w:rFonts w:ascii="宋体" w:hAnsi="宋体" w:eastAsia="宋体"/>
                <w:bCs/>
                <w:color w:val="auto"/>
                <w:kern w:val="0"/>
                <w:sz w:val="24"/>
                <w:szCs w:val="28"/>
                <w:highlight w:val="none"/>
              </w:rPr>
              <w:t xml:space="preserve">支票 </w:t>
            </w:r>
            <w:r>
              <w:rPr>
                <w:rFonts w:hint="eastAsia" w:ascii="宋体" w:hAnsi="宋体" w:eastAsia="宋体"/>
                <w:bCs/>
                <w:color w:val="auto"/>
                <w:kern w:val="0"/>
                <w:sz w:val="24"/>
                <w:szCs w:val="28"/>
                <w:highlight w:val="none"/>
              </w:rPr>
              <w:sym w:font="Wingdings" w:char="F0FE"/>
            </w:r>
            <w:r>
              <w:rPr>
                <w:rFonts w:ascii="宋体" w:hAnsi="宋体" w:eastAsia="宋体"/>
                <w:bCs/>
                <w:color w:val="auto"/>
                <w:kern w:val="0"/>
                <w:sz w:val="24"/>
                <w:szCs w:val="28"/>
                <w:highlight w:val="none"/>
              </w:rPr>
              <w:t>汇票</w:t>
            </w:r>
            <w:r>
              <w:rPr>
                <w:rFonts w:hint="eastAsia" w:ascii="宋体" w:hAnsi="宋体" w:eastAsia="宋体"/>
                <w:bCs/>
                <w:color w:val="auto"/>
                <w:kern w:val="0"/>
                <w:sz w:val="24"/>
                <w:szCs w:val="28"/>
                <w:highlight w:val="none"/>
              </w:rPr>
              <w:t xml:space="preserve"> </w:t>
            </w:r>
            <w:r>
              <w:rPr>
                <w:rFonts w:hint="eastAsia" w:ascii="宋体" w:hAnsi="宋体" w:eastAsia="宋体"/>
                <w:bCs/>
                <w:color w:val="auto"/>
                <w:kern w:val="0"/>
                <w:sz w:val="24"/>
                <w:szCs w:val="28"/>
                <w:highlight w:val="none"/>
              </w:rPr>
              <w:sym w:font="Wingdings" w:char="F0FE"/>
            </w:r>
            <w:r>
              <w:rPr>
                <w:rFonts w:hint="eastAsia" w:ascii="宋体" w:hAnsi="宋体" w:eastAsia="宋体"/>
                <w:bCs/>
                <w:color w:val="auto"/>
                <w:kern w:val="0"/>
                <w:sz w:val="24"/>
                <w:szCs w:val="28"/>
                <w:highlight w:val="none"/>
              </w:rPr>
              <w:t xml:space="preserve">本票 </w:t>
            </w:r>
            <w:r>
              <w:rPr>
                <w:rFonts w:hint="eastAsia" w:ascii="宋体" w:hAnsi="宋体" w:eastAsia="宋体"/>
                <w:bCs/>
                <w:color w:val="auto"/>
                <w:kern w:val="0"/>
                <w:sz w:val="24"/>
                <w:szCs w:val="28"/>
                <w:highlight w:val="none"/>
              </w:rPr>
              <w:sym w:font="Wingdings" w:char="F0FE"/>
            </w:r>
            <w:r>
              <w:rPr>
                <w:rFonts w:ascii="宋体" w:hAnsi="宋体" w:eastAsia="宋体"/>
                <w:bCs/>
                <w:color w:val="auto"/>
                <w:kern w:val="0"/>
                <w:sz w:val="24"/>
                <w:szCs w:val="28"/>
                <w:highlight w:val="none"/>
              </w:rPr>
              <w:t>保</w:t>
            </w:r>
            <w:r>
              <w:rPr>
                <w:rFonts w:hint="eastAsia" w:ascii="宋体" w:hAnsi="宋体" w:eastAsia="宋体"/>
                <w:bCs/>
                <w:color w:val="auto"/>
                <w:kern w:val="0"/>
                <w:sz w:val="24"/>
                <w:szCs w:val="28"/>
                <w:highlight w:val="none"/>
              </w:rPr>
              <w:t xml:space="preserve">险 </w:t>
            </w:r>
            <w:r>
              <w:rPr>
                <w:rFonts w:hint="eastAsia" w:ascii="宋体" w:hAnsi="宋体" w:eastAsia="宋体"/>
                <w:bCs/>
                <w:color w:val="auto"/>
                <w:kern w:val="0"/>
                <w:sz w:val="24"/>
                <w:szCs w:val="28"/>
                <w:highlight w:val="none"/>
              </w:rPr>
              <w:sym w:font="Wingdings" w:char="F0FE"/>
            </w:r>
            <w:r>
              <w:rPr>
                <w:rFonts w:hint="eastAsia" w:ascii="宋体" w:hAnsi="宋体" w:eastAsia="宋体"/>
                <w:bCs/>
                <w:color w:val="auto"/>
                <w:kern w:val="0"/>
                <w:sz w:val="24"/>
                <w:szCs w:val="28"/>
                <w:highlight w:val="none"/>
              </w:rPr>
              <w:t>保</w:t>
            </w:r>
            <w:r>
              <w:rPr>
                <w:rFonts w:ascii="宋体" w:hAnsi="宋体" w:eastAsia="宋体"/>
                <w:bCs/>
                <w:color w:val="auto"/>
                <w:kern w:val="0"/>
                <w:sz w:val="24"/>
                <w:szCs w:val="28"/>
                <w:highlight w:val="none"/>
              </w:rPr>
              <w:t>函</w:t>
            </w:r>
          </w:p>
          <w:p w14:paraId="6ABF6DAA">
            <w:pPr>
              <w:spacing w:line="360" w:lineRule="auto"/>
              <w:rPr>
                <w:rFonts w:hint="eastAsia" w:ascii="宋体" w:hAnsi="宋体" w:eastAsia="宋体"/>
                <w:bCs/>
                <w:kern w:val="0"/>
                <w:sz w:val="24"/>
                <w:szCs w:val="28"/>
                <w:u w:val="single"/>
                <w:lang w:eastAsia="zh-CN"/>
              </w:rPr>
            </w:pPr>
            <w:r>
              <w:rPr>
                <w:rFonts w:hint="eastAsia" w:ascii="宋体" w:hAnsi="宋体" w:eastAsia="宋体"/>
                <w:bCs/>
                <w:kern w:val="0"/>
                <w:sz w:val="24"/>
                <w:szCs w:val="28"/>
              </w:rPr>
              <w:t>（3）收取单位：</w:t>
            </w:r>
            <w:r>
              <w:rPr>
                <w:rFonts w:hint="eastAsia" w:ascii="宋体" w:hAnsi="宋体" w:eastAsia="宋体"/>
                <w:bCs/>
                <w:kern w:val="0"/>
                <w:sz w:val="24"/>
                <w:szCs w:val="28"/>
                <w:u w:val="single"/>
                <w:lang w:val="en-US" w:eastAsia="zh-CN"/>
              </w:rPr>
              <w:t>采购人</w:t>
            </w:r>
          </w:p>
          <w:p w14:paraId="22782349">
            <w:pPr>
              <w:spacing w:line="360" w:lineRule="auto"/>
              <w:rPr>
                <w:rFonts w:ascii="宋体" w:hAnsi="宋体" w:eastAsia="宋体"/>
                <w:bCs/>
                <w:kern w:val="0"/>
                <w:sz w:val="24"/>
                <w:szCs w:val="28"/>
                <w:u w:val="single"/>
              </w:rPr>
            </w:pPr>
            <w:r>
              <w:rPr>
                <w:rFonts w:hint="eastAsia" w:ascii="宋体" w:hAnsi="宋体" w:eastAsia="宋体"/>
                <w:bCs/>
                <w:kern w:val="0"/>
                <w:sz w:val="24"/>
                <w:szCs w:val="28"/>
              </w:rPr>
              <w:t>（4）缴纳时间：</w:t>
            </w:r>
            <w:r>
              <w:rPr>
                <w:rFonts w:hint="eastAsia" w:ascii="宋体" w:hAnsi="宋体" w:eastAsia="宋体"/>
                <w:bCs/>
                <w:kern w:val="0"/>
                <w:sz w:val="24"/>
                <w:szCs w:val="28"/>
                <w:u w:val="single"/>
              </w:rPr>
              <w:t xml:space="preserve"> 合同签订前 </w:t>
            </w:r>
          </w:p>
          <w:p w14:paraId="56EE2BF2">
            <w:pPr>
              <w:spacing w:line="360" w:lineRule="auto"/>
              <w:rPr>
                <w:rFonts w:hint="default" w:ascii="宋体" w:hAnsi="宋体" w:eastAsia="宋体"/>
                <w:sz w:val="24"/>
                <w:lang w:val="en-US" w:eastAsia="zh-CN"/>
              </w:rPr>
            </w:pPr>
            <w:r>
              <w:rPr>
                <w:rFonts w:hint="eastAsia" w:ascii="宋体" w:hAnsi="宋体" w:eastAsia="宋体"/>
                <w:sz w:val="24"/>
              </w:rPr>
              <w:t>（5）退还时间：</w:t>
            </w:r>
            <w:r>
              <w:rPr>
                <w:rFonts w:hint="eastAsia" w:ascii="宋体" w:hAnsi="宋体" w:eastAsia="宋体"/>
                <w:sz w:val="24"/>
                <w:lang w:val="en-US" w:eastAsia="zh-CN"/>
              </w:rPr>
              <w:t>履约期满后</w:t>
            </w:r>
          </w:p>
          <w:p w14:paraId="7B009770">
            <w:pPr>
              <w:spacing w:line="360" w:lineRule="auto"/>
              <w:rPr>
                <w:rFonts w:ascii="宋体" w:hAnsi="宋体" w:eastAsia="宋体"/>
                <w:b/>
                <w:bCs/>
                <w:kern w:val="0"/>
                <w:sz w:val="24"/>
                <w:szCs w:val="24"/>
              </w:rPr>
            </w:pPr>
            <w:r>
              <w:rPr>
                <w:rFonts w:hint="eastAsia" w:ascii="宋体" w:hAnsi="宋体" w:eastAsia="宋体"/>
                <w:b/>
                <w:bCs/>
                <w:kern w:val="0"/>
                <w:sz w:val="24"/>
                <w:szCs w:val="24"/>
              </w:rPr>
              <w:t>注意事项：</w:t>
            </w:r>
          </w:p>
          <w:p w14:paraId="53F9CA4F">
            <w:pPr>
              <w:spacing w:line="360" w:lineRule="auto"/>
              <w:rPr>
                <w:rFonts w:ascii="宋体" w:hAnsi="宋体" w:eastAsia="宋体"/>
                <w:b/>
                <w:bCs/>
                <w:kern w:val="0"/>
                <w:sz w:val="24"/>
                <w:szCs w:val="24"/>
              </w:rPr>
            </w:pPr>
            <w:r>
              <w:rPr>
                <w:rFonts w:hint="eastAsia" w:ascii="宋体" w:hAnsi="宋体" w:eastAsia="宋体"/>
                <w:b/>
                <w:bCs/>
                <w:kern w:val="0"/>
                <w:sz w:val="24"/>
                <w:szCs w:val="24"/>
              </w:rPr>
              <w:t>（1）以上各类机构出具的以担保函、保证保险承担责任的方式均须满足无条件见索即付条件。</w:t>
            </w:r>
          </w:p>
          <w:p w14:paraId="129B2924">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sz w:val="24"/>
                <w:szCs w:val="24"/>
              </w:rPr>
              <w:t>（2）以担保函、保证保险形式缴纳履约保证金的，受益人和收取单位须为采购人。</w:t>
            </w:r>
          </w:p>
        </w:tc>
      </w:tr>
      <w:tr w14:paraId="552B3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717BBDE7">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hint="eastAsia" w:ascii="宋体" w:hAnsi="宋体" w:eastAsia="宋体"/>
                <w:bCs/>
                <w:kern w:val="2"/>
              </w:rPr>
              <w:t>31</w:t>
            </w:r>
            <w:r>
              <w:rPr>
                <w:rFonts w:ascii="宋体" w:hAnsi="宋体" w:eastAsia="宋体"/>
                <w:bCs/>
                <w:kern w:val="2"/>
              </w:rPr>
              <w:t>.1</w:t>
            </w:r>
          </w:p>
        </w:tc>
        <w:tc>
          <w:tcPr>
            <w:tcW w:w="2032" w:type="dxa"/>
            <w:vAlign w:val="center"/>
          </w:tcPr>
          <w:p w14:paraId="6E367363">
            <w:pPr>
              <w:pStyle w:val="28"/>
              <w:widowControl w:val="0"/>
              <w:spacing w:before="0" w:beforeAutospacing="0" w:after="0" w:afterAutospacing="0" w:line="360" w:lineRule="auto"/>
              <w:jc w:val="both"/>
              <w:rPr>
                <w:rFonts w:hint="eastAsia" w:ascii="宋体" w:hAnsi="宋体" w:eastAsia="宋体"/>
                <w:b w:val="0"/>
                <w:sz w:val="24"/>
                <w:lang w:eastAsia="zh-CN"/>
              </w:rPr>
            </w:pPr>
            <w:r>
              <w:rPr>
                <w:rFonts w:hint="eastAsia" w:ascii="宋体" w:hAnsi="宋体" w:eastAsia="宋体"/>
                <w:b w:val="0"/>
                <w:sz w:val="24"/>
                <w:lang w:val="en-US" w:eastAsia="zh-CN"/>
              </w:rPr>
              <w:t>代理费用</w:t>
            </w:r>
          </w:p>
        </w:tc>
        <w:tc>
          <w:tcPr>
            <w:tcW w:w="5722" w:type="dxa"/>
            <w:vAlign w:val="center"/>
          </w:tcPr>
          <w:p w14:paraId="65B28BC9">
            <w:pPr>
              <w:spacing w:line="360" w:lineRule="auto"/>
              <w:rPr>
                <w:rFonts w:ascii="宋体" w:hAnsi="宋体" w:eastAsia="宋体"/>
                <w:bCs/>
                <w:kern w:val="0"/>
                <w:sz w:val="24"/>
                <w:szCs w:val="28"/>
              </w:rPr>
            </w:pPr>
            <w:r>
              <w:rPr>
                <w:rFonts w:hint="eastAsia" w:ascii="宋体" w:hAnsi="宋体" w:eastAsia="宋体"/>
                <w:bCs/>
                <w:kern w:val="0"/>
                <w:sz w:val="24"/>
                <w:szCs w:val="28"/>
              </w:rPr>
              <w:t>（1）金额：</w:t>
            </w:r>
          </w:p>
          <w:p w14:paraId="03256348">
            <w:pPr>
              <w:spacing w:line="360" w:lineRule="auto"/>
              <w:rPr>
                <w:rFonts w:ascii="宋体" w:hAnsi="宋体" w:eastAsia="宋体"/>
                <w:bCs/>
                <w:kern w:val="0"/>
                <w:sz w:val="24"/>
                <w:szCs w:val="28"/>
              </w:rPr>
            </w:pPr>
            <w:r>
              <w:rPr>
                <w:rFonts w:ascii="宋体" w:hAnsi="宋体" w:eastAsia="宋体"/>
                <w:bCs/>
                <w:kern w:val="0"/>
                <w:sz w:val="24"/>
                <w:szCs w:val="28"/>
              </w:rPr>
              <w:t>□</w:t>
            </w:r>
            <w:r>
              <w:rPr>
                <w:rFonts w:hint="eastAsia" w:ascii="宋体" w:hAnsi="宋体" w:eastAsia="宋体"/>
                <w:bCs/>
                <w:kern w:val="0"/>
                <w:sz w:val="24"/>
                <w:szCs w:val="28"/>
              </w:rPr>
              <w:t>免收</w:t>
            </w:r>
          </w:p>
          <w:p w14:paraId="12EB7716">
            <w:pPr>
              <w:spacing w:line="360" w:lineRule="auto"/>
              <w:rPr>
                <w:rFonts w:ascii="宋体" w:hAnsi="宋体" w:eastAsia="宋体"/>
                <w:bCs/>
                <w:kern w:val="0"/>
                <w:sz w:val="24"/>
                <w:szCs w:val="28"/>
                <w:u w:val="single"/>
              </w:rPr>
            </w:pPr>
            <w:r>
              <w:rPr>
                <w:rFonts w:ascii="宋体" w:hAnsi="宋体" w:eastAsia="宋体"/>
                <w:bCs/>
                <w:kern w:val="0"/>
                <w:sz w:val="24"/>
                <w:szCs w:val="28"/>
              </w:rPr>
              <w:t>□</w:t>
            </w:r>
            <w:r>
              <w:rPr>
                <w:rFonts w:hint="eastAsia" w:ascii="宋体" w:hAnsi="宋体" w:eastAsia="宋体"/>
                <w:bCs/>
                <w:kern w:val="0"/>
                <w:sz w:val="24"/>
                <w:szCs w:val="28"/>
              </w:rPr>
              <w:t>定额收取：人民币</w:t>
            </w:r>
            <w:r>
              <w:rPr>
                <w:rFonts w:hint="eastAsia" w:ascii="宋体" w:hAnsi="宋体" w:eastAsia="宋体"/>
                <w:bCs/>
                <w:kern w:val="0"/>
                <w:sz w:val="24"/>
                <w:szCs w:val="28"/>
                <w:u w:val="single"/>
              </w:rPr>
              <w:t xml:space="preserve">      </w:t>
            </w:r>
            <w:r>
              <w:rPr>
                <w:rFonts w:hint="eastAsia" w:ascii="宋体" w:hAnsi="宋体" w:eastAsia="宋体"/>
                <w:bCs/>
                <w:kern w:val="0"/>
                <w:sz w:val="24"/>
                <w:szCs w:val="28"/>
                <w:u w:val="single"/>
                <w:lang w:val="en-US" w:eastAsia="zh-CN"/>
              </w:rPr>
              <w:t>/</w:t>
            </w:r>
            <w:r>
              <w:rPr>
                <w:rFonts w:hint="eastAsia" w:ascii="宋体" w:hAnsi="宋体" w:eastAsia="宋体"/>
                <w:bCs/>
                <w:kern w:val="0"/>
                <w:sz w:val="24"/>
                <w:szCs w:val="28"/>
                <w:u w:val="single"/>
              </w:rPr>
              <w:t xml:space="preserve">        </w:t>
            </w:r>
            <w:r>
              <w:rPr>
                <w:rFonts w:hint="eastAsia" w:ascii="宋体" w:hAnsi="宋体" w:eastAsia="宋体"/>
                <w:bCs/>
                <w:kern w:val="0"/>
                <w:sz w:val="24"/>
                <w:szCs w:val="28"/>
              </w:rPr>
              <w:t>元</w:t>
            </w:r>
          </w:p>
          <w:p w14:paraId="5D61DE5B">
            <w:pPr>
              <w:spacing w:line="360" w:lineRule="auto"/>
              <w:rPr>
                <w:rFonts w:ascii="宋体" w:hAnsi="宋体" w:eastAsia="宋体"/>
                <w:bCs/>
                <w:i/>
                <w:kern w:val="0"/>
                <w:sz w:val="24"/>
                <w:szCs w:val="28"/>
                <w:highlight w:val="none"/>
                <w:u w:val="single"/>
              </w:rPr>
            </w:pPr>
            <w:r>
              <w:rPr>
                <w:rFonts w:hint="eastAsia" w:ascii="宋体" w:hAnsi="宋体" w:eastAsia="宋体"/>
                <w:bCs/>
                <w:color w:val="auto"/>
                <w:kern w:val="0"/>
                <w:sz w:val="24"/>
                <w:szCs w:val="28"/>
                <w:highlight w:val="none"/>
              </w:rPr>
              <w:sym w:font="Wingdings" w:char="F0FE"/>
            </w:r>
            <w:r>
              <w:rPr>
                <w:rFonts w:hint="eastAsia" w:ascii="宋体" w:hAnsi="宋体" w:eastAsia="宋体"/>
                <w:bCs/>
                <w:kern w:val="0"/>
                <w:sz w:val="24"/>
                <w:szCs w:val="28"/>
              </w:rPr>
              <w:t>按下列标准收取：</w:t>
            </w:r>
            <w:r>
              <w:rPr>
                <w:rFonts w:hint="eastAsia" w:ascii="宋体" w:hAnsi="宋体" w:eastAsia="宋体"/>
                <w:bCs/>
                <w:kern w:val="0"/>
                <w:sz w:val="24"/>
                <w:szCs w:val="28"/>
                <w:lang w:val="en-US" w:eastAsia="zh-CN"/>
              </w:rPr>
              <w:t>代理费用</w:t>
            </w:r>
            <w:r>
              <w:rPr>
                <w:rFonts w:hint="eastAsia" w:ascii="宋体" w:hAnsi="宋体" w:eastAsia="宋体"/>
                <w:bCs/>
                <w:kern w:val="0"/>
                <w:sz w:val="24"/>
                <w:szCs w:val="28"/>
              </w:rPr>
              <w:t>的收取采用差额定率累进计费方式，具体收费标准为下表的</w:t>
            </w:r>
            <w:r>
              <w:rPr>
                <w:rFonts w:hint="eastAsia" w:ascii="宋体" w:hAnsi="宋体" w:eastAsia="宋体"/>
                <w:bCs/>
                <w:kern w:val="0"/>
                <w:sz w:val="24"/>
                <w:szCs w:val="28"/>
                <w:u w:val="single"/>
              </w:rPr>
              <w:t>80</w:t>
            </w:r>
            <w:r>
              <w:rPr>
                <w:rFonts w:hint="eastAsia" w:ascii="宋体" w:hAnsi="宋体" w:eastAsia="宋体"/>
                <w:bCs/>
                <w:kern w:val="0"/>
                <w:sz w:val="24"/>
                <w:szCs w:val="28"/>
                <w:highlight w:val="none"/>
                <w:u w:val="single"/>
              </w:rPr>
              <w:t>%</w:t>
            </w:r>
            <w:r>
              <w:rPr>
                <w:rFonts w:hint="eastAsia" w:ascii="宋体" w:hAnsi="宋体" w:eastAsia="宋体"/>
                <w:bCs/>
                <w:i/>
                <w:color w:val="000000" w:themeColor="text1"/>
                <w:kern w:val="0"/>
                <w:sz w:val="24"/>
                <w:szCs w:val="28"/>
                <w:highlight w:val="none"/>
                <w14:textFill>
                  <w14:solidFill>
                    <w14:schemeClr w14:val="tx1"/>
                  </w14:solidFill>
                </w14:textFill>
              </w:rPr>
              <w:t>（</w:t>
            </w:r>
            <w:r>
              <w:rPr>
                <w:rFonts w:hint="eastAsia" w:ascii="宋体" w:hAnsi="宋体" w:eastAsia="宋体"/>
                <w:b/>
                <w:bCs w:val="0"/>
                <w:i/>
                <w:color w:val="000000" w:themeColor="text1"/>
                <w:kern w:val="0"/>
                <w:sz w:val="24"/>
                <w:szCs w:val="28"/>
                <w:highlight w:val="none"/>
                <w14:textFill>
                  <w14:solidFill>
                    <w14:schemeClr w14:val="tx1"/>
                  </w14:solidFill>
                </w14:textFill>
              </w:rPr>
              <w:t>如成交服务费额计费不足4000元，按照4000元收取</w:t>
            </w:r>
            <w:r>
              <w:rPr>
                <w:rFonts w:hint="eastAsia" w:ascii="宋体" w:hAnsi="宋体" w:eastAsia="宋体"/>
                <w:bCs/>
                <w:i/>
                <w:color w:val="000000" w:themeColor="text1"/>
                <w:kern w:val="0"/>
                <w:sz w:val="24"/>
                <w:szCs w:val="28"/>
                <w:highlight w:val="none"/>
                <w14:textFill>
                  <w14:solidFill>
                    <w14:schemeClr w14:val="tx1"/>
                  </w14:solidFill>
                </w14:textFill>
              </w:rPr>
              <w:t>）</w:t>
            </w:r>
          </w:p>
          <w:tbl>
            <w:tblPr>
              <w:tblStyle w:val="21"/>
              <w:tblW w:w="52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9"/>
              <w:gridCol w:w="1196"/>
              <w:gridCol w:w="1196"/>
              <w:gridCol w:w="1196"/>
            </w:tblGrid>
            <w:tr w14:paraId="24FBEA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75625194">
                  <w:pPr>
                    <w:jc w:val="center"/>
                    <w:rPr>
                      <w:rFonts w:ascii="宋体" w:hAnsi="宋体" w:eastAsia="宋体"/>
                      <w:bCs/>
                      <w:sz w:val="24"/>
                    </w:rPr>
                  </w:pPr>
                  <w:r>
                    <w:rPr>
                      <w:rFonts w:hint="eastAsia" w:ascii="宋体" w:hAnsi="宋体" w:eastAsia="宋体"/>
                      <w:bCs/>
                      <w:sz w:val="24"/>
                    </w:rPr>
                    <w:t>成交金额</w:t>
                  </w:r>
                </w:p>
                <w:p w14:paraId="2A2C5097">
                  <w:pPr>
                    <w:spacing w:line="360" w:lineRule="auto"/>
                    <w:jc w:val="center"/>
                    <w:rPr>
                      <w:rFonts w:ascii="宋体" w:hAnsi="宋体" w:eastAsia="宋体"/>
                      <w:bCs/>
                      <w:kern w:val="0"/>
                      <w:sz w:val="24"/>
                      <w:szCs w:val="28"/>
                    </w:rPr>
                  </w:pPr>
                  <w:r>
                    <w:rPr>
                      <w:rFonts w:hint="eastAsia" w:ascii="宋体" w:hAnsi="宋体" w:eastAsia="宋体"/>
                      <w:kern w:val="0"/>
                      <w:sz w:val="24"/>
                      <w:szCs w:val="28"/>
                    </w:rPr>
                    <w:t>（万元）</w:t>
                  </w:r>
                </w:p>
              </w:tc>
              <w:tc>
                <w:tcPr>
                  <w:tcW w:w="1196" w:type="dxa"/>
                  <w:vAlign w:val="center"/>
                </w:tcPr>
                <w:p w14:paraId="17E74833">
                  <w:pPr>
                    <w:spacing w:line="360" w:lineRule="auto"/>
                    <w:jc w:val="center"/>
                    <w:rPr>
                      <w:rFonts w:ascii="宋体" w:hAnsi="宋体" w:eastAsia="宋体"/>
                      <w:bCs/>
                      <w:kern w:val="0"/>
                      <w:sz w:val="24"/>
                      <w:szCs w:val="28"/>
                    </w:rPr>
                  </w:pPr>
                  <w:r>
                    <w:rPr>
                      <w:rFonts w:hint="eastAsia" w:ascii="宋体" w:hAnsi="宋体" w:eastAsia="宋体"/>
                      <w:kern w:val="0"/>
                      <w:sz w:val="24"/>
                      <w:szCs w:val="28"/>
                    </w:rPr>
                    <w:t>货物招标</w:t>
                  </w:r>
                </w:p>
              </w:tc>
              <w:tc>
                <w:tcPr>
                  <w:tcW w:w="1196" w:type="dxa"/>
                  <w:vAlign w:val="center"/>
                </w:tcPr>
                <w:p w14:paraId="58902E69">
                  <w:pPr>
                    <w:spacing w:line="360" w:lineRule="auto"/>
                    <w:jc w:val="center"/>
                    <w:rPr>
                      <w:rFonts w:ascii="宋体" w:hAnsi="宋体" w:eastAsia="宋体"/>
                      <w:bCs/>
                      <w:kern w:val="0"/>
                      <w:sz w:val="24"/>
                      <w:szCs w:val="28"/>
                    </w:rPr>
                  </w:pPr>
                  <w:r>
                    <w:rPr>
                      <w:rFonts w:hint="eastAsia" w:ascii="宋体" w:hAnsi="宋体" w:eastAsia="宋体"/>
                      <w:kern w:val="0"/>
                      <w:sz w:val="24"/>
                      <w:szCs w:val="28"/>
                    </w:rPr>
                    <w:t>服务招标</w:t>
                  </w:r>
                </w:p>
              </w:tc>
              <w:tc>
                <w:tcPr>
                  <w:tcW w:w="1196" w:type="dxa"/>
                  <w:vAlign w:val="center"/>
                </w:tcPr>
                <w:p w14:paraId="72338DF6">
                  <w:pPr>
                    <w:spacing w:line="360" w:lineRule="auto"/>
                    <w:jc w:val="center"/>
                    <w:rPr>
                      <w:rFonts w:ascii="宋体" w:hAnsi="宋体" w:eastAsia="宋体"/>
                      <w:bCs/>
                      <w:kern w:val="0"/>
                      <w:sz w:val="24"/>
                      <w:szCs w:val="28"/>
                    </w:rPr>
                  </w:pPr>
                  <w:r>
                    <w:rPr>
                      <w:rFonts w:hint="eastAsia" w:ascii="宋体" w:hAnsi="宋体" w:eastAsia="宋体"/>
                      <w:kern w:val="0"/>
                      <w:sz w:val="24"/>
                      <w:szCs w:val="28"/>
                    </w:rPr>
                    <w:t>工程招标</w:t>
                  </w:r>
                </w:p>
              </w:tc>
            </w:tr>
            <w:tr w14:paraId="230721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5482E9FD">
                  <w:pPr>
                    <w:spacing w:line="360" w:lineRule="auto"/>
                    <w:jc w:val="center"/>
                    <w:rPr>
                      <w:rFonts w:ascii="宋体" w:hAnsi="宋体" w:eastAsia="宋体"/>
                      <w:bCs/>
                      <w:kern w:val="0"/>
                      <w:sz w:val="24"/>
                      <w:szCs w:val="28"/>
                    </w:rPr>
                  </w:pPr>
                  <w:r>
                    <w:rPr>
                      <w:rFonts w:ascii="宋体" w:hAnsi="宋体" w:eastAsia="宋体"/>
                      <w:kern w:val="0"/>
                      <w:sz w:val="24"/>
                      <w:szCs w:val="28"/>
                    </w:rPr>
                    <w:t>100</w:t>
                  </w:r>
                  <w:r>
                    <w:rPr>
                      <w:rFonts w:hint="eastAsia" w:ascii="宋体" w:hAnsi="宋体" w:eastAsia="宋体"/>
                      <w:kern w:val="0"/>
                      <w:sz w:val="24"/>
                      <w:szCs w:val="28"/>
                    </w:rPr>
                    <w:t>以下</w:t>
                  </w:r>
                </w:p>
              </w:tc>
              <w:tc>
                <w:tcPr>
                  <w:tcW w:w="1196" w:type="dxa"/>
                  <w:vAlign w:val="center"/>
                </w:tcPr>
                <w:p w14:paraId="091504E5">
                  <w:pPr>
                    <w:spacing w:line="360" w:lineRule="auto"/>
                    <w:jc w:val="center"/>
                    <w:rPr>
                      <w:rFonts w:ascii="宋体" w:hAnsi="宋体" w:eastAsia="宋体"/>
                      <w:bCs/>
                      <w:kern w:val="0"/>
                      <w:sz w:val="24"/>
                      <w:szCs w:val="28"/>
                    </w:rPr>
                  </w:pPr>
                  <w:r>
                    <w:rPr>
                      <w:rFonts w:ascii="宋体" w:hAnsi="宋体" w:eastAsia="宋体"/>
                      <w:kern w:val="0"/>
                      <w:sz w:val="24"/>
                      <w:szCs w:val="28"/>
                    </w:rPr>
                    <w:t>1.</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49AC9CB5">
                  <w:pPr>
                    <w:spacing w:line="360" w:lineRule="auto"/>
                    <w:jc w:val="center"/>
                    <w:rPr>
                      <w:rFonts w:ascii="宋体" w:hAnsi="宋体" w:eastAsia="宋体"/>
                      <w:bCs/>
                      <w:kern w:val="0"/>
                      <w:sz w:val="24"/>
                      <w:szCs w:val="28"/>
                    </w:rPr>
                  </w:pPr>
                  <w:r>
                    <w:rPr>
                      <w:rFonts w:ascii="宋体" w:hAnsi="宋体" w:eastAsia="宋体"/>
                      <w:kern w:val="0"/>
                      <w:sz w:val="24"/>
                      <w:szCs w:val="28"/>
                    </w:rPr>
                    <w:t>1.</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101DF643">
                  <w:pPr>
                    <w:spacing w:line="360" w:lineRule="auto"/>
                    <w:jc w:val="center"/>
                    <w:rPr>
                      <w:rFonts w:ascii="宋体" w:hAnsi="宋体" w:eastAsia="宋体"/>
                      <w:bCs/>
                      <w:kern w:val="0"/>
                      <w:sz w:val="24"/>
                      <w:szCs w:val="28"/>
                    </w:rPr>
                  </w:pPr>
                  <w:r>
                    <w:rPr>
                      <w:rFonts w:hint="eastAsia" w:ascii="宋体" w:hAnsi="宋体" w:eastAsia="宋体"/>
                      <w:kern w:val="0"/>
                      <w:sz w:val="24"/>
                      <w:szCs w:val="28"/>
                    </w:rPr>
                    <w:t>1.0</w:t>
                  </w:r>
                  <w:r>
                    <w:rPr>
                      <w:rFonts w:ascii="宋体" w:hAnsi="宋体" w:eastAsia="宋体"/>
                      <w:kern w:val="0"/>
                      <w:sz w:val="24"/>
                      <w:szCs w:val="28"/>
                    </w:rPr>
                    <w:t>%</w:t>
                  </w:r>
                </w:p>
              </w:tc>
            </w:tr>
            <w:tr w14:paraId="3A285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6556F9D9">
                  <w:pPr>
                    <w:spacing w:line="360" w:lineRule="auto"/>
                    <w:jc w:val="center"/>
                    <w:rPr>
                      <w:rFonts w:ascii="宋体" w:hAnsi="宋体" w:eastAsia="宋体"/>
                      <w:bCs/>
                      <w:kern w:val="0"/>
                      <w:sz w:val="24"/>
                      <w:szCs w:val="28"/>
                    </w:rPr>
                  </w:pPr>
                  <w:r>
                    <w:rPr>
                      <w:rFonts w:ascii="宋体" w:hAnsi="宋体" w:eastAsia="宋体"/>
                      <w:kern w:val="0"/>
                      <w:sz w:val="24"/>
                      <w:szCs w:val="28"/>
                    </w:rPr>
                    <w:t>100-500</w:t>
                  </w:r>
                </w:p>
              </w:tc>
              <w:tc>
                <w:tcPr>
                  <w:tcW w:w="1196" w:type="dxa"/>
                  <w:vAlign w:val="center"/>
                </w:tcPr>
                <w:p w14:paraId="4EA15BE4">
                  <w:pPr>
                    <w:spacing w:line="360" w:lineRule="auto"/>
                    <w:jc w:val="center"/>
                    <w:rPr>
                      <w:rFonts w:ascii="宋体" w:hAnsi="宋体" w:eastAsia="宋体"/>
                      <w:bCs/>
                      <w:kern w:val="0"/>
                      <w:sz w:val="24"/>
                      <w:szCs w:val="28"/>
                    </w:rPr>
                  </w:pPr>
                  <w:r>
                    <w:rPr>
                      <w:rFonts w:hint="eastAsia" w:ascii="宋体" w:hAnsi="宋体" w:eastAsia="宋体"/>
                      <w:kern w:val="0"/>
                      <w:sz w:val="24"/>
                      <w:szCs w:val="28"/>
                    </w:rPr>
                    <w:t>1.1</w:t>
                  </w:r>
                  <w:r>
                    <w:rPr>
                      <w:rFonts w:ascii="宋体" w:hAnsi="宋体" w:eastAsia="宋体"/>
                      <w:kern w:val="0"/>
                      <w:sz w:val="24"/>
                      <w:szCs w:val="28"/>
                    </w:rPr>
                    <w:t>%</w:t>
                  </w:r>
                </w:p>
              </w:tc>
              <w:tc>
                <w:tcPr>
                  <w:tcW w:w="1196" w:type="dxa"/>
                  <w:vAlign w:val="center"/>
                </w:tcPr>
                <w:p w14:paraId="2845B6B1">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8</w:t>
                  </w:r>
                  <w:r>
                    <w:rPr>
                      <w:rFonts w:ascii="宋体" w:hAnsi="宋体" w:eastAsia="宋体"/>
                      <w:kern w:val="0"/>
                      <w:sz w:val="24"/>
                      <w:szCs w:val="28"/>
                    </w:rPr>
                    <w:t>%</w:t>
                  </w:r>
                </w:p>
              </w:tc>
              <w:tc>
                <w:tcPr>
                  <w:tcW w:w="1196" w:type="dxa"/>
                  <w:vAlign w:val="center"/>
                </w:tcPr>
                <w:p w14:paraId="2667EE86">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7</w:t>
                  </w:r>
                  <w:r>
                    <w:rPr>
                      <w:rFonts w:ascii="宋体" w:hAnsi="宋体" w:eastAsia="宋体"/>
                      <w:kern w:val="0"/>
                      <w:sz w:val="24"/>
                      <w:szCs w:val="28"/>
                    </w:rPr>
                    <w:t>%</w:t>
                  </w:r>
                </w:p>
              </w:tc>
            </w:tr>
            <w:tr w14:paraId="2126D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336BB308">
                  <w:pPr>
                    <w:spacing w:line="360" w:lineRule="auto"/>
                    <w:jc w:val="center"/>
                    <w:rPr>
                      <w:rFonts w:ascii="宋体" w:hAnsi="宋体" w:eastAsia="宋体"/>
                      <w:bCs/>
                      <w:kern w:val="0"/>
                      <w:sz w:val="24"/>
                      <w:szCs w:val="28"/>
                    </w:rPr>
                  </w:pPr>
                  <w:r>
                    <w:rPr>
                      <w:rFonts w:ascii="宋体" w:hAnsi="宋体" w:eastAsia="宋体"/>
                      <w:kern w:val="0"/>
                      <w:sz w:val="24"/>
                      <w:szCs w:val="28"/>
                    </w:rPr>
                    <w:t>500-1000</w:t>
                  </w:r>
                </w:p>
              </w:tc>
              <w:tc>
                <w:tcPr>
                  <w:tcW w:w="1196" w:type="dxa"/>
                  <w:vAlign w:val="center"/>
                </w:tcPr>
                <w:p w14:paraId="4C0E619D">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8</w:t>
                  </w:r>
                  <w:r>
                    <w:rPr>
                      <w:rFonts w:ascii="宋体" w:hAnsi="宋体" w:eastAsia="宋体"/>
                      <w:kern w:val="0"/>
                      <w:sz w:val="24"/>
                      <w:szCs w:val="28"/>
                    </w:rPr>
                    <w:t>%</w:t>
                  </w:r>
                </w:p>
              </w:tc>
              <w:tc>
                <w:tcPr>
                  <w:tcW w:w="1196" w:type="dxa"/>
                  <w:vAlign w:val="center"/>
                </w:tcPr>
                <w:p w14:paraId="20E33233">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45</w:t>
                  </w:r>
                  <w:r>
                    <w:rPr>
                      <w:rFonts w:ascii="宋体" w:hAnsi="宋体" w:eastAsia="宋体"/>
                      <w:kern w:val="0"/>
                      <w:sz w:val="24"/>
                      <w:szCs w:val="28"/>
                    </w:rPr>
                    <w:t>%</w:t>
                  </w:r>
                </w:p>
              </w:tc>
              <w:tc>
                <w:tcPr>
                  <w:tcW w:w="1196" w:type="dxa"/>
                  <w:vAlign w:val="center"/>
                </w:tcPr>
                <w:p w14:paraId="5963FADB">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55</w:t>
                  </w:r>
                  <w:r>
                    <w:rPr>
                      <w:rFonts w:ascii="宋体" w:hAnsi="宋体" w:eastAsia="宋体"/>
                      <w:kern w:val="0"/>
                      <w:sz w:val="24"/>
                      <w:szCs w:val="28"/>
                    </w:rPr>
                    <w:t>%</w:t>
                  </w:r>
                </w:p>
              </w:tc>
            </w:tr>
            <w:tr w14:paraId="2F7CC2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5EA08B80">
                  <w:pPr>
                    <w:spacing w:line="360" w:lineRule="auto"/>
                    <w:jc w:val="center"/>
                    <w:rPr>
                      <w:rFonts w:ascii="宋体" w:hAnsi="宋体" w:eastAsia="宋体"/>
                      <w:bCs/>
                      <w:kern w:val="0"/>
                      <w:sz w:val="24"/>
                      <w:szCs w:val="28"/>
                    </w:rPr>
                  </w:pPr>
                  <w:r>
                    <w:rPr>
                      <w:rFonts w:ascii="宋体" w:hAnsi="宋体" w:eastAsia="宋体"/>
                      <w:kern w:val="0"/>
                      <w:sz w:val="24"/>
                      <w:szCs w:val="28"/>
                    </w:rPr>
                    <w:t>1000-5000</w:t>
                  </w:r>
                </w:p>
              </w:tc>
              <w:tc>
                <w:tcPr>
                  <w:tcW w:w="1196" w:type="dxa"/>
                  <w:vAlign w:val="center"/>
                </w:tcPr>
                <w:p w14:paraId="30ADBF74">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5486404E">
                  <w:pPr>
                    <w:spacing w:line="360" w:lineRule="auto"/>
                    <w:jc w:val="center"/>
                    <w:rPr>
                      <w:rFonts w:ascii="宋体" w:hAnsi="宋体" w:eastAsia="宋体"/>
                      <w:bCs/>
                      <w:kern w:val="0"/>
                      <w:sz w:val="24"/>
                      <w:szCs w:val="28"/>
                    </w:rPr>
                  </w:pPr>
                  <w:r>
                    <w:rPr>
                      <w:rFonts w:ascii="宋体" w:hAnsi="宋体" w:eastAsia="宋体"/>
                      <w:kern w:val="0"/>
                      <w:sz w:val="24"/>
                      <w:szCs w:val="28"/>
                    </w:rPr>
                    <w:t>0.2</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2E5C4629">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35</w:t>
                  </w:r>
                  <w:r>
                    <w:rPr>
                      <w:rFonts w:ascii="宋体" w:hAnsi="宋体" w:eastAsia="宋体"/>
                      <w:kern w:val="0"/>
                      <w:sz w:val="24"/>
                      <w:szCs w:val="28"/>
                    </w:rPr>
                    <w:t>%</w:t>
                  </w:r>
                </w:p>
              </w:tc>
            </w:tr>
            <w:tr w14:paraId="4D5BC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21FDEE87">
                  <w:pPr>
                    <w:spacing w:line="360" w:lineRule="auto"/>
                    <w:jc w:val="center"/>
                    <w:rPr>
                      <w:rFonts w:ascii="宋体" w:hAnsi="宋体" w:eastAsia="宋体"/>
                      <w:bCs/>
                      <w:kern w:val="0"/>
                      <w:sz w:val="24"/>
                      <w:szCs w:val="28"/>
                    </w:rPr>
                  </w:pPr>
                  <w:r>
                    <w:rPr>
                      <w:rFonts w:ascii="宋体" w:hAnsi="宋体" w:eastAsia="宋体"/>
                      <w:kern w:val="0"/>
                      <w:sz w:val="24"/>
                      <w:szCs w:val="28"/>
                    </w:rPr>
                    <w:t>5000-10000</w:t>
                  </w:r>
                </w:p>
              </w:tc>
              <w:tc>
                <w:tcPr>
                  <w:tcW w:w="1196" w:type="dxa"/>
                  <w:vAlign w:val="center"/>
                </w:tcPr>
                <w:p w14:paraId="6010D375">
                  <w:pPr>
                    <w:spacing w:line="360" w:lineRule="auto"/>
                    <w:jc w:val="center"/>
                    <w:rPr>
                      <w:rFonts w:ascii="宋体" w:hAnsi="宋体" w:eastAsia="宋体"/>
                      <w:bCs/>
                      <w:kern w:val="0"/>
                      <w:sz w:val="24"/>
                      <w:szCs w:val="28"/>
                    </w:rPr>
                  </w:pPr>
                  <w:r>
                    <w:rPr>
                      <w:rFonts w:ascii="宋体" w:hAnsi="宋体" w:eastAsia="宋体"/>
                      <w:kern w:val="0"/>
                      <w:sz w:val="24"/>
                      <w:szCs w:val="28"/>
                    </w:rPr>
                    <w:t>0.2</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12C16BE0">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362C3B42">
                  <w:pPr>
                    <w:spacing w:line="360" w:lineRule="auto"/>
                    <w:jc w:val="center"/>
                    <w:rPr>
                      <w:rFonts w:ascii="宋体" w:hAnsi="宋体" w:eastAsia="宋体"/>
                      <w:bCs/>
                      <w:kern w:val="0"/>
                      <w:sz w:val="24"/>
                      <w:szCs w:val="28"/>
                    </w:rPr>
                  </w:pPr>
                  <w:r>
                    <w:rPr>
                      <w:rFonts w:ascii="宋体" w:hAnsi="宋体" w:eastAsia="宋体"/>
                      <w:kern w:val="0"/>
                      <w:sz w:val="24"/>
                      <w:szCs w:val="28"/>
                    </w:rPr>
                    <w:t>0.</w:t>
                  </w:r>
                  <w:r>
                    <w:rPr>
                      <w:rFonts w:hint="eastAsia" w:ascii="宋体" w:hAnsi="宋体" w:eastAsia="宋体"/>
                      <w:kern w:val="0"/>
                      <w:sz w:val="24"/>
                      <w:szCs w:val="28"/>
                    </w:rPr>
                    <w:t>2</w:t>
                  </w:r>
                  <w:r>
                    <w:rPr>
                      <w:rFonts w:ascii="宋体" w:hAnsi="宋体" w:eastAsia="宋体"/>
                      <w:kern w:val="0"/>
                      <w:sz w:val="24"/>
                      <w:szCs w:val="28"/>
                    </w:rPr>
                    <w:t>%</w:t>
                  </w:r>
                </w:p>
              </w:tc>
            </w:tr>
            <w:tr w14:paraId="6061D0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09DC200D">
                  <w:pPr>
                    <w:spacing w:line="360" w:lineRule="auto"/>
                    <w:jc w:val="center"/>
                    <w:rPr>
                      <w:rFonts w:ascii="宋体" w:hAnsi="宋体" w:eastAsia="宋体"/>
                      <w:bCs/>
                      <w:kern w:val="0"/>
                      <w:sz w:val="24"/>
                      <w:szCs w:val="28"/>
                    </w:rPr>
                  </w:pPr>
                  <w:r>
                    <w:rPr>
                      <w:rFonts w:ascii="宋体" w:hAnsi="宋体" w:eastAsia="宋体"/>
                      <w:kern w:val="0"/>
                      <w:sz w:val="24"/>
                      <w:szCs w:val="28"/>
                    </w:rPr>
                    <w:t>10000-100000</w:t>
                  </w:r>
                </w:p>
              </w:tc>
              <w:tc>
                <w:tcPr>
                  <w:tcW w:w="1196" w:type="dxa"/>
                  <w:vAlign w:val="center"/>
                </w:tcPr>
                <w:p w14:paraId="72CFA231">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647EC446">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c>
                <w:tcPr>
                  <w:tcW w:w="1196" w:type="dxa"/>
                  <w:vAlign w:val="center"/>
                </w:tcPr>
                <w:p w14:paraId="5673B890">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5</w:t>
                  </w:r>
                  <w:r>
                    <w:rPr>
                      <w:rFonts w:ascii="宋体" w:hAnsi="宋体" w:eastAsia="宋体"/>
                      <w:kern w:val="0"/>
                      <w:sz w:val="24"/>
                      <w:szCs w:val="28"/>
                    </w:rPr>
                    <w:t>%</w:t>
                  </w:r>
                </w:p>
              </w:tc>
            </w:tr>
            <w:tr w14:paraId="62CB27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9" w:type="dxa"/>
                  <w:vAlign w:val="center"/>
                </w:tcPr>
                <w:p w14:paraId="2F8A4579">
                  <w:pPr>
                    <w:spacing w:line="360" w:lineRule="auto"/>
                    <w:jc w:val="center"/>
                    <w:rPr>
                      <w:rFonts w:ascii="宋体" w:hAnsi="宋体" w:eastAsia="宋体"/>
                      <w:bCs/>
                      <w:kern w:val="0"/>
                      <w:sz w:val="24"/>
                      <w:szCs w:val="28"/>
                    </w:rPr>
                  </w:pPr>
                  <w:r>
                    <w:rPr>
                      <w:rFonts w:ascii="宋体" w:hAnsi="宋体" w:eastAsia="宋体"/>
                      <w:kern w:val="0"/>
                      <w:sz w:val="24"/>
                      <w:szCs w:val="28"/>
                    </w:rPr>
                    <w:t>100000</w:t>
                  </w:r>
                  <w:r>
                    <w:rPr>
                      <w:rFonts w:hint="eastAsia" w:ascii="宋体" w:hAnsi="宋体" w:eastAsia="宋体"/>
                      <w:kern w:val="0"/>
                      <w:sz w:val="24"/>
                      <w:szCs w:val="28"/>
                    </w:rPr>
                    <w:t>以上</w:t>
                  </w:r>
                </w:p>
              </w:tc>
              <w:tc>
                <w:tcPr>
                  <w:tcW w:w="1196" w:type="dxa"/>
                  <w:vAlign w:val="center"/>
                </w:tcPr>
                <w:p w14:paraId="6AB9E781">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0D84BAD1">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c>
                <w:tcPr>
                  <w:tcW w:w="1196" w:type="dxa"/>
                  <w:vAlign w:val="center"/>
                </w:tcPr>
                <w:p w14:paraId="1118F93A">
                  <w:pPr>
                    <w:spacing w:line="360" w:lineRule="auto"/>
                    <w:jc w:val="center"/>
                    <w:rPr>
                      <w:rFonts w:ascii="宋体" w:hAnsi="宋体" w:eastAsia="宋体"/>
                      <w:bCs/>
                      <w:kern w:val="0"/>
                      <w:sz w:val="24"/>
                      <w:szCs w:val="28"/>
                    </w:rPr>
                  </w:pPr>
                  <w:r>
                    <w:rPr>
                      <w:rFonts w:ascii="宋体" w:hAnsi="宋体" w:eastAsia="宋体"/>
                      <w:kern w:val="0"/>
                      <w:sz w:val="24"/>
                      <w:szCs w:val="28"/>
                    </w:rPr>
                    <w:t>0.0</w:t>
                  </w:r>
                  <w:r>
                    <w:rPr>
                      <w:rFonts w:hint="eastAsia" w:ascii="宋体" w:hAnsi="宋体" w:eastAsia="宋体"/>
                      <w:kern w:val="0"/>
                      <w:sz w:val="24"/>
                      <w:szCs w:val="28"/>
                    </w:rPr>
                    <w:t>1</w:t>
                  </w:r>
                  <w:r>
                    <w:rPr>
                      <w:rFonts w:ascii="宋体" w:hAnsi="宋体" w:eastAsia="宋体"/>
                      <w:kern w:val="0"/>
                      <w:sz w:val="24"/>
                      <w:szCs w:val="28"/>
                    </w:rPr>
                    <w:t>%</w:t>
                  </w:r>
                </w:p>
              </w:tc>
            </w:tr>
          </w:tbl>
          <w:p w14:paraId="644CE4B8">
            <w:pPr>
              <w:spacing w:line="360" w:lineRule="auto"/>
              <w:ind w:firstLine="470" w:firstLineChars="196"/>
              <w:rPr>
                <w:rFonts w:asciiTheme="minorEastAsia" w:hAnsiTheme="minorEastAsia" w:eastAsiaTheme="minorEastAsia"/>
                <w:sz w:val="24"/>
              </w:rPr>
            </w:pPr>
            <w:r>
              <w:rPr>
                <w:rFonts w:hint="eastAsia" w:asciiTheme="minorEastAsia" w:hAnsiTheme="minorEastAsia" w:eastAsiaTheme="minorEastAsia"/>
                <w:sz w:val="24"/>
              </w:rPr>
              <w:t>注：</w:t>
            </w:r>
            <w:r>
              <w:rPr>
                <w:rFonts w:hint="eastAsia" w:asciiTheme="minorEastAsia" w:hAnsiTheme="minorEastAsia" w:eastAsiaTheme="minorEastAsia"/>
                <w:sz w:val="24"/>
                <w:lang w:val="en-US" w:eastAsia="zh-CN"/>
              </w:rPr>
              <w:t>代理费用</w:t>
            </w:r>
            <w:r>
              <w:rPr>
                <w:rFonts w:hint="eastAsia" w:asciiTheme="minorEastAsia" w:hAnsiTheme="minorEastAsia" w:eastAsiaTheme="minorEastAsia"/>
                <w:sz w:val="24"/>
              </w:rPr>
              <w:t>按差额定率累进法计算。例如：某服务招标代理业务成交金额为</w:t>
            </w:r>
            <w:r>
              <w:rPr>
                <w:rFonts w:asciiTheme="minorEastAsia" w:hAnsiTheme="minorEastAsia" w:eastAsiaTheme="minorEastAsia"/>
                <w:sz w:val="24"/>
              </w:rPr>
              <w:t>6000</w:t>
            </w:r>
            <w:r>
              <w:rPr>
                <w:rFonts w:hint="eastAsia" w:asciiTheme="minorEastAsia" w:hAnsiTheme="minorEastAsia" w:eastAsiaTheme="minorEastAsia"/>
                <w:sz w:val="24"/>
              </w:rPr>
              <w:t>万元，计算</w:t>
            </w:r>
            <w:r>
              <w:rPr>
                <w:rFonts w:hint="eastAsia" w:asciiTheme="minorEastAsia" w:hAnsiTheme="minorEastAsia" w:eastAsiaTheme="minorEastAsia"/>
                <w:sz w:val="24"/>
                <w:lang w:val="en-US" w:eastAsia="zh-CN"/>
              </w:rPr>
              <w:t>代理费用</w:t>
            </w:r>
            <w:r>
              <w:rPr>
                <w:rFonts w:hint="eastAsia" w:asciiTheme="minorEastAsia" w:hAnsiTheme="minorEastAsia" w:eastAsiaTheme="minorEastAsia"/>
                <w:sz w:val="24"/>
              </w:rPr>
              <w:t>如下：</w:t>
            </w:r>
          </w:p>
          <w:p w14:paraId="3563ABC7">
            <w:pPr>
              <w:spacing w:line="360" w:lineRule="auto"/>
              <w:ind w:firstLine="480" w:firstLineChars="200"/>
              <w:rPr>
                <w:rFonts w:asciiTheme="minorEastAsia" w:hAnsiTheme="minorEastAsia" w:eastAsiaTheme="minorEastAsia"/>
                <w:sz w:val="24"/>
              </w:rPr>
            </w:pPr>
            <w:r>
              <w:rPr>
                <w:rFonts w:asciiTheme="minorEastAsia" w:hAnsiTheme="minorEastAsia" w:eastAsiaTheme="minorEastAsia"/>
                <w:sz w:val="24"/>
              </w:rPr>
              <w:t>100</w:t>
            </w:r>
            <w:r>
              <w:rPr>
                <w:rFonts w:hint="eastAsia" w:asciiTheme="minorEastAsia" w:hAnsiTheme="minorEastAsia" w:eastAsiaTheme="minorEastAsia"/>
                <w:sz w:val="24"/>
              </w:rPr>
              <w:t>万元</w:t>
            </w:r>
            <w:r>
              <w:rPr>
                <w:rFonts w:asciiTheme="minorEastAsia" w:hAnsiTheme="minorEastAsia" w:eastAsiaTheme="minorEastAsia"/>
                <w:sz w:val="24"/>
              </w:rPr>
              <w:t>×</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80%＝1.2万元</w:t>
            </w:r>
          </w:p>
          <w:p w14:paraId="33D1BACE">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500</w:t>
            </w:r>
            <w:r>
              <w:rPr>
                <w:rFonts w:hint="eastAsia" w:asciiTheme="minorEastAsia" w:hAnsiTheme="minorEastAsia" w:eastAsiaTheme="minorEastAsia"/>
                <w:sz w:val="24"/>
              </w:rPr>
              <w:t>－</w:t>
            </w:r>
            <w:r>
              <w:rPr>
                <w:rFonts w:asciiTheme="minorEastAsia" w:hAnsiTheme="minorEastAsia" w:eastAsiaTheme="minorEastAsia"/>
                <w:sz w:val="24"/>
              </w:rPr>
              <w:t>100</w:t>
            </w:r>
            <w:r>
              <w:rPr>
                <w:rFonts w:hint="eastAsia" w:asciiTheme="minorEastAsia" w:hAnsiTheme="minorEastAsia" w:eastAsiaTheme="minorEastAsia"/>
                <w:sz w:val="24"/>
              </w:rPr>
              <w:t>）万元</w:t>
            </w:r>
            <w:r>
              <w:rPr>
                <w:rFonts w:asciiTheme="minorEastAsia" w:hAnsiTheme="minorEastAsia" w:eastAsiaTheme="minorEastAsia"/>
                <w:sz w:val="24"/>
              </w:rPr>
              <w:t>×0.</w:t>
            </w: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80%＝2.56万元</w:t>
            </w:r>
          </w:p>
          <w:p w14:paraId="5CA7006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1000</w:t>
            </w:r>
            <w:r>
              <w:rPr>
                <w:rFonts w:hint="eastAsia" w:asciiTheme="minorEastAsia" w:hAnsiTheme="minorEastAsia" w:eastAsiaTheme="minorEastAsia"/>
                <w:sz w:val="24"/>
              </w:rPr>
              <w:t>－</w:t>
            </w:r>
            <w:r>
              <w:rPr>
                <w:rFonts w:asciiTheme="minorEastAsia" w:hAnsiTheme="minorEastAsia" w:eastAsiaTheme="minorEastAsia"/>
                <w:sz w:val="24"/>
              </w:rPr>
              <w:t>500</w:t>
            </w:r>
            <w:r>
              <w:rPr>
                <w:rFonts w:hint="eastAsia" w:asciiTheme="minorEastAsia" w:hAnsiTheme="minorEastAsia" w:eastAsiaTheme="minorEastAsia"/>
                <w:sz w:val="24"/>
              </w:rPr>
              <w:t>）万元</w:t>
            </w:r>
            <w:r>
              <w:rPr>
                <w:rFonts w:asciiTheme="minorEastAsia" w:hAnsiTheme="minorEastAsia" w:eastAsiaTheme="minorEastAsia"/>
                <w:sz w:val="24"/>
              </w:rPr>
              <w:t>×</w:t>
            </w:r>
            <w:r>
              <w:rPr>
                <w:rFonts w:hint="eastAsia" w:asciiTheme="minorEastAsia" w:hAnsiTheme="minorEastAsia" w:eastAsiaTheme="minorEastAsia"/>
                <w:sz w:val="24"/>
              </w:rPr>
              <w:t>0.45％</w:t>
            </w:r>
            <w:r>
              <w:rPr>
                <w:rFonts w:asciiTheme="minorEastAsia" w:hAnsiTheme="minorEastAsia" w:eastAsiaTheme="minorEastAsia"/>
                <w:sz w:val="24"/>
              </w:rPr>
              <w:t>×</w:t>
            </w:r>
            <w:r>
              <w:rPr>
                <w:rFonts w:hint="eastAsia" w:asciiTheme="minorEastAsia" w:hAnsiTheme="minorEastAsia" w:eastAsiaTheme="minorEastAsia"/>
                <w:sz w:val="24"/>
              </w:rPr>
              <w:t>80%＝1.8万元</w:t>
            </w:r>
          </w:p>
          <w:p w14:paraId="13B9591B">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5000</w:t>
            </w:r>
            <w:r>
              <w:rPr>
                <w:rFonts w:hint="eastAsia" w:asciiTheme="minorEastAsia" w:hAnsiTheme="minorEastAsia" w:eastAsiaTheme="minorEastAsia"/>
                <w:sz w:val="24"/>
              </w:rPr>
              <w:t>－</w:t>
            </w:r>
            <w:r>
              <w:rPr>
                <w:rFonts w:asciiTheme="minorEastAsia" w:hAnsiTheme="minorEastAsia" w:eastAsiaTheme="minorEastAsia"/>
                <w:sz w:val="24"/>
              </w:rPr>
              <w:t>1000</w:t>
            </w:r>
            <w:r>
              <w:rPr>
                <w:rFonts w:hint="eastAsia" w:asciiTheme="minorEastAsia" w:hAnsiTheme="minorEastAsia" w:eastAsiaTheme="minorEastAsia"/>
                <w:sz w:val="24"/>
              </w:rPr>
              <w:t>）万元</w:t>
            </w:r>
            <w:r>
              <w:rPr>
                <w:rFonts w:asciiTheme="minorEastAsia" w:hAnsiTheme="minorEastAsia" w:eastAsiaTheme="minorEastAsia"/>
                <w:sz w:val="24"/>
              </w:rPr>
              <w:t>×0.</w:t>
            </w:r>
            <w:r>
              <w:rPr>
                <w:rFonts w:hint="eastAsia" w:asciiTheme="minorEastAsia" w:hAnsiTheme="minorEastAsia" w:eastAsiaTheme="minorEastAsia"/>
                <w:sz w:val="24"/>
              </w:rPr>
              <w:t>25％</w:t>
            </w:r>
            <w:r>
              <w:rPr>
                <w:rFonts w:asciiTheme="minorEastAsia" w:hAnsiTheme="minorEastAsia" w:eastAsiaTheme="minorEastAsia"/>
                <w:sz w:val="24"/>
              </w:rPr>
              <w:t>×</w:t>
            </w:r>
            <w:r>
              <w:rPr>
                <w:rFonts w:hint="eastAsia" w:asciiTheme="minorEastAsia" w:hAnsiTheme="minorEastAsia" w:eastAsiaTheme="minorEastAsia"/>
                <w:sz w:val="24"/>
              </w:rPr>
              <w:t>80%＝8万元</w:t>
            </w:r>
          </w:p>
          <w:p w14:paraId="587797D5">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6000</w:t>
            </w:r>
            <w:r>
              <w:rPr>
                <w:rFonts w:hint="eastAsia" w:asciiTheme="minorEastAsia" w:hAnsiTheme="minorEastAsia" w:eastAsiaTheme="minorEastAsia"/>
                <w:sz w:val="24"/>
              </w:rPr>
              <w:t>－</w:t>
            </w:r>
            <w:r>
              <w:rPr>
                <w:rFonts w:asciiTheme="minorEastAsia" w:hAnsiTheme="minorEastAsia" w:eastAsiaTheme="minorEastAsia"/>
                <w:sz w:val="24"/>
              </w:rPr>
              <w:t>5000</w:t>
            </w:r>
            <w:r>
              <w:rPr>
                <w:rFonts w:hint="eastAsia" w:asciiTheme="minorEastAsia" w:hAnsiTheme="minorEastAsia" w:eastAsiaTheme="minorEastAsia"/>
                <w:sz w:val="24"/>
              </w:rPr>
              <w:t>）万元</w:t>
            </w:r>
            <w:r>
              <w:rPr>
                <w:rFonts w:asciiTheme="minorEastAsia" w:hAnsiTheme="minorEastAsia" w:eastAsiaTheme="minorEastAsia"/>
                <w:sz w:val="24"/>
              </w:rPr>
              <w:t>×0.</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80%＝0.8万元</w:t>
            </w:r>
          </w:p>
          <w:p w14:paraId="63E428F8">
            <w:pPr>
              <w:spacing w:line="360" w:lineRule="auto"/>
              <w:rPr>
                <w:rFonts w:asciiTheme="minorEastAsia" w:hAnsiTheme="minorEastAsia" w:eastAsiaTheme="minorEastAsia"/>
                <w:bCs/>
                <w:kern w:val="0"/>
                <w:sz w:val="24"/>
                <w:szCs w:val="28"/>
              </w:rPr>
            </w:pPr>
            <w:r>
              <w:rPr>
                <w:rFonts w:hint="eastAsia" w:asciiTheme="minorEastAsia" w:hAnsiTheme="minorEastAsia" w:eastAsiaTheme="minorEastAsia"/>
                <w:b/>
                <w:bCs/>
                <w:kern w:val="0"/>
                <w:sz w:val="24"/>
                <w:szCs w:val="28"/>
              </w:rPr>
              <w:t>合计收费＝1.2＋</w:t>
            </w:r>
            <w:r>
              <w:rPr>
                <w:rFonts w:asciiTheme="minorEastAsia" w:hAnsiTheme="minorEastAsia" w:eastAsiaTheme="minorEastAsia"/>
                <w:b/>
                <w:bCs/>
                <w:kern w:val="0"/>
                <w:sz w:val="24"/>
                <w:szCs w:val="28"/>
              </w:rPr>
              <w:t>2.</w:t>
            </w:r>
            <w:r>
              <w:rPr>
                <w:rFonts w:hint="eastAsia" w:asciiTheme="minorEastAsia" w:hAnsiTheme="minorEastAsia" w:eastAsiaTheme="minorEastAsia"/>
                <w:b/>
                <w:bCs/>
                <w:kern w:val="0"/>
                <w:sz w:val="24"/>
                <w:szCs w:val="28"/>
              </w:rPr>
              <w:t>56＋1.8＋8＋0.8＝14.36</w:t>
            </w:r>
            <w:r>
              <w:rPr>
                <w:rFonts w:asciiTheme="minorEastAsia" w:hAnsiTheme="minorEastAsia" w:eastAsiaTheme="minorEastAsia"/>
                <w:b/>
                <w:bCs/>
                <w:kern w:val="0"/>
                <w:sz w:val="24"/>
                <w:szCs w:val="28"/>
              </w:rPr>
              <w:t>(</w:t>
            </w:r>
            <w:r>
              <w:rPr>
                <w:rFonts w:hint="eastAsia" w:asciiTheme="minorEastAsia" w:hAnsiTheme="minorEastAsia" w:eastAsiaTheme="minorEastAsia"/>
                <w:b/>
                <w:bCs/>
                <w:kern w:val="0"/>
                <w:sz w:val="24"/>
                <w:szCs w:val="28"/>
              </w:rPr>
              <w:t>万元</w:t>
            </w:r>
            <w:r>
              <w:rPr>
                <w:rFonts w:asciiTheme="minorEastAsia" w:hAnsiTheme="minorEastAsia" w:eastAsiaTheme="minorEastAsia"/>
                <w:b/>
                <w:bCs/>
                <w:kern w:val="0"/>
                <w:sz w:val="24"/>
                <w:szCs w:val="28"/>
              </w:rPr>
              <w:t>)</w:t>
            </w:r>
          </w:p>
          <w:p w14:paraId="3D89C4D9">
            <w:pPr>
              <w:spacing w:line="360" w:lineRule="auto"/>
              <w:rPr>
                <w:rFonts w:ascii="宋体" w:hAnsi="宋体" w:eastAsia="宋体"/>
                <w:bCs/>
                <w:kern w:val="0"/>
                <w:sz w:val="24"/>
                <w:szCs w:val="28"/>
              </w:rPr>
            </w:pPr>
            <w:r>
              <w:rPr>
                <w:rFonts w:hint="eastAsia" w:ascii="宋体" w:hAnsi="宋体" w:eastAsia="宋体"/>
                <w:bCs/>
                <w:kern w:val="0"/>
                <w:sz w:val="24"/>
                <w:szCs w:val="28"/>
              </w:rPr>
              <w:t>（2）支付方式：</w:t>
            </w:r>
            <w:r>
              <w:rPr>
                <w:rFonts w:hint="eastAsia" w:ascii="宋体" w:hAnsi="宋体" w:eastAsia="宋体"/>
                <w:kern w:val="0"/>
                <w:sz w:val="24"/>
                <w:szCs w:val="28"/>
              </w:rPr>
              <w:sym w:font="Wingdings" w:char="F0FE"/>
            </w:r>
            <w:r>
              <w:rPr>
                <w:rFonts w:ascii="宋体" w:hAnsi="宋体" w:eastAsia="宋体"/>
                <w:bCs/>
                <w:kern w:val="0"/>
                <w:sz w:val="24"/>
                <w:szCs w:val="28"/>
              </w:rPr>
              <w:t>转账/电汇</w:t>
            </w:r>
          </w:p>
          <w:p w14:paraId="38A7C20E">
            <w:pPr>
              <w:spacing w:line="360" w:lineRule="auto"/>
              <w:rPr>
                <w:rFonts w:ascii="宋体" w:hAnsi="宋体" w:eastAsia="宋体"/>
                <w:bCs/>
                <w:kern w:val="0"/>
                <w:sz w:val="24"/>
                <w:szCs w:val="28"/>
                <w:u w:val="single"/>
              </w:rPr>
            </w:pPr>
            <w:r>
              <w:rPr>
                <w:rFonts w:hint="eastAsia" w:ascii="宋体" w:hAnsi="宋体" w:eastAsia="宋体"/>
                <w:bCs/>
                <w:kern w:val="0"/>
                <w:sz w:val="24"/>
                <w:szCs w:val="28"/>
              </w:rPr>
              <w:t>（3）收取单位：</w:t>
            </w:r>
            <w:r>
              <w:rPr>
                <w:rFonts w:hint="eastAsia" w:ascii="宋体" w:hAnsi="宋体" w:eastAsia="宋体"/>
                <w:bCs/>
                <w:kern w:val="0"/>
                <w:sz w:val="24"/>
                <w:szCs w:val="28"/>
                <w:u w:val="single"/>
              </w:rPr>
              <w:t>安徽公共资源交易集团项目管理有限公司</w:t>
            </w:r>
          </w:p>
          <w:p w14:paraId="5D0A2A1C">
            <w:pPr>
              <w:spacing w:line="360" w:lineRule="auto"/>
              <w:rPr>
                <w:rFonts w:hint="default" w:eastAsia="@仿宋_GB2312"/>
                <w:lang w:val="en-US" w:eastAsia="zh-CN"/>
              </w:rPr>
            </w:pPr>
            <w:r>
              <w:rPr>
                <w:rFonts w:hint="eastAsia" w:ascii="宋体" w:hAnsi="宋体" w:eastAsia="宋体"/>
                <w:bCs/>
                <w:kern w:val="0"/>
                <w:sz w:val="24"/>
                <w:szCs w:val="28"/>
                <w:u w:val="none"/>
                <w:lang w:val="en-US" w:eastAsia="zh-CN"/>
              </w:rPr>
              <w:t>（4）缴纳单位：</w:t>
            </w:r>
            <w:r>
              <w:rPr>
                <w:rFonts w:hint="eastAsia" w:ascii="宋体" w:hAnsi="宋体" w:eastAsia="宋体"/>
                <w:bCs/>
                <w:kern w:val="0"/>
                <w:sz w:val="24"/>
                <w:szCs w:val="28"/>
                <w:u w:val="none"/>
              </w:rPr>
              <w:sym w:font="Wingdings" w:char="00FE"/>
            </w:r>
            <w:r>
              <w:rPr>
                <w:rFonts w:hint="eastAsia" w:ascii="宋体" w:hAnsi="宋体" w:eastAsia="宋体"/>
                <w:bCs/>
                <w:kern w:val="0"/>
                <w:sz w:val="24"/>
                <w:szCs w:val="28"/>
                <w:u w:val="none"/>
                <w:lang w:val="en-US" w:eastAsia="zh-CN"/>
              </w:rPr>
              <w:t xml:space="preserve">成交供应商 </w:t>
            </w:r>
          </w:p>
          <w:p w14:paraId="650B076A">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bCs w:val="0"/>
                <w:kern w:val="2"/>
                <w:sz w:val="24"/>
                <w:szCs w:val="20"/>
              </w:rPr>
              <w:t>（</w:t>
            </w:r>
            <w:r>
              <w:rPr>
                <w:rFonts w:hint="eastAsia" w:ascii="宋体" w:hAnsi="宋体" w:eastAsia="宋体"/>
                <w:b w:val="0"/>
                <w:bCs w:val="0"/>
                <w:kern w:val="2"/>
                <w:sz w:val="24"/>
                <w:szCs w:val="20"/>
                <w:lang w:val="en-US" w:eastAsia="zh-CN"/>
              </w:rPr>
              <w:t>5</w:t>
            </w:r>
            <w:r>
              <w:rPr>
                <w:rFonts w:hint="eastAsia" w:ascii="宋体" w:hAnsi="宋体" w:eastAsia="宋体"/>
                <w:b w:val="0"/>
                <w:bCs w:val="0"/>
                <w:kern w:val="2"/>
                <w:sz w:val="24"/>
                <w:szCs w:val="20"/>
              </w:rPr>
              <w:t>）缴纳时间：</w:t>
            </w:r>
            <w:r>
              <w:rPr>
                <w:rFonts w:hint="eastAsia" w:ascii="宋体" w:hAnsi="宋体" w:eastAsia="宋体"/>
                <w:b w:val="0"/>
                <w:bCs w:val="0"/>
                <w:kern w:val="2"/>
                <w:sz w:val="24"/>
                <w:szCs w:val="20"/>
                <w:u w:val="single"/>
              </w:rPr>
              <w:t>领取</w:t>
            </w:r>
            <w:r>
              <w:rPr>
                <w:rFonts w:hint="eastAsia" w:ascii="宋体" w:hAnsi="宋体" w:eastAsia="宋体"/>
                <w:b w:val="0"/>
                <w:bCs w:val="0"/>
                <w:kern w:val="2"/>
                <w:sz w:val="24"/>
                <w:szCs w:val="20"/>
                <w:u w:val="single"/>
                <w:lang w:val="en-US" w:eastAsia="zh-CN"/>
              </w:rPr>
              <w:t>成交</w:t>
            </w:r>
            <w:r>
              <w:rPr>
                <w:rFonts w:hint="eastAsia" w:ascii="宋体" w:hAnsi="宋体" w:eastAsia="宋体"/>
                <w:b w:val="0"/>
                <w:bCs w:val="0"/>
                <w:kern w:val="2"/>
                <w:sz w:val="24"/>
                <w:szCs w:val="20"/>
                <w:u w:val="single"/>
              </w:rPr>
              <w:t>通知书前</w:t>
            </w:r>
          </w:p>
        </w:tc>
      </w:tr>
      <w:tr w14:paraId="734C75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567C836">
            <w:pPr>
              <w:pStyle w:val="29"/>
              <w:pBdr>
                <w:bottom w:val="none" w:color="auto" w:sz="0" w:space="0"/>
              </w:pBdr>
              <w:tabs>
                <w:tab w:val="clear" w:pos="4153"/>
                <w:tab w:val="clear" w:pos="8306"/>
              </w:tabs>
              <w:adjustRightInd/>
              <w:spacing w:line="360" w:lineRule="auto"/>
              <w:textAlignment w:val="auto"/>
              <w:rPr>
                <w:rFonts w:hint="eastAsia" w:ascii="宋体" w:hAnsi="宋体" w:eastAsia="宋体"/>
                <w:bCs/>
                <w:kern w:val="2"/>
                <w:lang w:eastAsia="zh-CN"/>
              </w:rPr>
            </w:pPr>
            <w:r>
              <w:rPr>
                <w:rFonts w:hint="eastAsia" w:ascii="宋体" w:hAnsi="宋体" w:eastAsia="宋体"/>
                <w:bCs/>
                <w:kern w:val="2"/>
              </w:rPr>
              <w:t>3</w:t>
            </w:r>
            <w:r>
              <w:rPr>
                <w:rFonts w:hint="eastAsia" w:ascii="宋体" w:hAnsi="宋体" w:eastAsia="宋体"/>
                <w:bCs/>
                <w:kern w:val="2"/>
                <w:lang w:val="en-US" w:eastAsia="zh-CN"/>
              </w:rPr>
              <w:t>4</w:t>
            </w:r>
          </w:p>
        </w:tc>
        <w:tc>
          <w:tcPr>
            <w:tcW w:w="2032" w:type="dxa"/>
            <w:vAlign w:val="center"/>
          </w:tcPr>
          <w:p w14:paraId="344B4278">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其他内容</w:t>
            </w:r>
          </w:p>
        </w:tc>
        <w:tc>
          <w:tcPr>
            <w:tcW w:w="5722" w:type="dxa"/>
            <w:vAlign w:val="center"/>
          </w:tcPr>
          <w:p w14:paraId="6150E93A">
            <w:pPr>
              <w:pStyle w:val="28"/>
              <w:widowControl w:val="0"/>
              <w:spacing w:before="0" w:beforeAutospacing="0" w:after="0" w:afterAutospacing="0" w:line="360" w:lineRule="auto"/>
              <w:jc w:val="both"/>
              <w:rPr>
                <w:rFonts w:hint="eastAsia" w:ascii="宋体" w:hAnsi="宋体" w:eastAsia="宋体"/>
                <w:b w:val="0"/>
                <w:sz w:val="24"/>
                <w:lang w:val="en-US" w:eastAsia="zh-CN"/>
              </w:rPr>
            </w:pPr>
            <w:r>
              <w:rPr>
                <w:rFonts w:hint="eastAsia" w:ascii="宋体" w:hAnsi="宋体" w:eastAsia="宋体"/>
                <w:b w:val="0"/>
                <w:sz w:val="24"/>
                <w:lang w:val="en-US" w:eastAsia="zh-CN"/>
              </w:rPr>
              <w:t>/</w:t>
            </w:r>
          </w:p>
        </w:tc>
      </w:tr>
      <w:tr w14:paraId="213F9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FA2F855">
            <w:pPr>
              <w:pStyle w:val="29"/>
              <w:pBdr>
                <w:bottom w:val="none" w:color="auto" w:sz="0" w:space="0"/>
              </w:pBdr>
              <w:tabs>
                <w:tab w:val="clear" w:pos="4153"/>
                <w:tab w:val="clear" w:pos="8306"/>
              </w:tabs>
              <w:adjustRightInd/>
              <w:spacing w:line="360" w:lineRule="auto"/>
              <w:textAlignment w:val="auto"/>
              <w:rPr>
                <w:rFonts w:ascii="宋体" w:hAnsi="宋体" w:eastAsia="宋体"/>
                <w:bCs/>
                <w:kern w:val="2"/>
              </w:rPr>
            </w:pPr>
            <w:r>
              <w:rPr>
                <w:rFonts w:ascii="宋体" w:hAnsi="宋体" w:eastAsia="宋体"/>
                <w:bCs/>
                <w:kern w:val="2"/>
              </w:rPr>
              <w:t>3</w:t>
            </w:r>
            <w:r>
              <w:rPr>
                <w:rFonts w:hint="eastAsia" w:ascii="宋体" w:hAnsi="宋体" w:eastAsia="宋体"/>
                <w:bCs/>
                <w:kern w:val="2"/>
                <w:lang w:val="en-US" w:eastAsia="zh-CN"/>
              </w:rPr>
              <w:t>4</w:t>
            </w:r>
            <w:r>
              <w:rPr>
                <w:rFonts w:ascii="宋体" w:hAnsi="宋体" w:eastAsia="宋体"/>
                <w:bCs/>
                <w:kern w:val="2"/>
              </w:rPr>
              <w:t>.1</w:t>
            </w:r>
          </w:p>
        </w:tc>
        <w:tc>
          <w:tcPr>
            <w:tcW w:w="2032" w:type="dxa"/>
            <w:vAlign w:val="center"/>
          </w:tcPr>
          <w:p w14:paraId="41A00FFC">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color w:val="auto"/>
                <w:sz w:val="24"/>
                <w:highlight w:val="none"/>
              </w:rPr>
              <w:t>关于联合体投标的相关约定</w:t>
            </w:r>
            <w:r>
              <w:rPr>
                <w:rFonts w:hint="eastAsia" w:ascii="宋体" w:hAnsi="宋体" w:eastAsia="宋体"/>
                <w:b w:val="0"/>
                <w:i/>
                <w:iCs/>
                <w:color w:val="auto"/>
                <w:sz w:val="24"/>
                <w:highlight w:val="none"/>
                <w:lang w:eastAsia="zh-CN"/>
              </w:rPr>
              <w:t>（</w:t>
            </w:r>
            <w:r>
              <w:rPr>
                <w:rFonts w:hint="eastAsia" w:ascii="宋体" w:hAnsi="宋体" w:eastAsia="宋体"/>
                <w:b w:val="0"/>
                <w:i/>
                <w:iCs/>
                <w:color w:val="auto"/>
                <w:sz w:val="24"/>
                <w:highlight w:val="none"/>
                <w:lang w:val="en-US" w:eastAsia="zh-CN"/>
              </w:rPr>
              <w:t>本项目不适用</w:t>
            </w:r>
            <w:r>
              <w:rPr>
                <w:rFonts w:hint="eastAsia" w:ascii="宋体" w:hAnsi="宋体" w:eastAsia="宋体"/>
                <w:b w:val="0"/>
                <w:i/>
                <w:iCs/>
                <w:color w:val="auto"/>
                <w:sz w:val="24"/>
                <w:highlight w:val="none"/>
                <w:lang w:eastAsia="zh-CN"/>
              </w:rPr>
              <w:t>）</w:t>
            </w:r>
          </w:p>
        </w:tc>
        <w:tc>
          <w:tcPr>
            <w:tcW w:w="5722" w:type="dxa"/>
            <w:vAlign w:val="center"/>
          </w:tcPr>
          <w:p w14:paraId="319176ED">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联合体参加磋商的，</w:t>
            </w:r>
            <w:r>
              <w:rPr>
                <w:rFonts w:hint="eastAsia" w:ascii="宋体" w:hAnsi="宋体" w:eastAsia="宋体"/>
                <w:b w:val="0"/>
                <w:sz w:val="24"/>
              </w:rPr>
              <w:t>磋商文件获取</w:t>
            </w:r>
            <w:r>
              <w:rPr>
                <w:rFonts w:ascii="宋体" w:hAnsi="宋体" w:eastAsia="宋体"/>
                <w:b w:val="0"/>
                <w:sz w:val="24"/>
              </w:rPr>
              <w:t>手续由联合体</w:t>
            </w:r>
            <w:r>
              <w:rPr>
                <w:rFonts w:hint="eastAsia" w:ascii="宋体" w:hAnsi="宋体" w:eastAsia="宋体"/>
                <w:b w:val="0"/>
                <w:sz w:val="24"/>
              </w:rPr>
              <w:t>中</w:t>
            </w:r>
            <w:r>
              <w:rPr>
                <w:rFonts w:ascii="宋体" w:hAnsi="宋体" w:eastAsia="宋体"/>
                <w:b w:val="0"/>
                <w:sz w:val="24"/>
              </w:rPr>
              <w:t>任一</w:t>
            </w:r>
            <w:r>
              <w:rPr>
                <w:rFonts w:hint="eastAsia" w:ascii="宋体" w:hAnsi="宋体" w:eastAsia="宋体"/>
                <w:b w:val="0"/>
                <w:sz w:val="24"/>
              </w:rPr>
              <w:t>成员单位</w:t>
            </w:r>
            <w:r>
              <w:rPr>
                <w:rFonts w:ascii="宋体" w:hAnsi="宋体" w:eastAsia="宋体"/>
                <w:b w:val="0"/>
                <w:sz w:val="24"/>
              </w:rPr>
              <w:t>办理均可。</w:t>
            </w:r>
          </w:p>
          <w:p w14:paraId="16663E0B">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联合体参加磋商的须提供联合协议（见</w:t>
            </w:r>
            <w:r>
              <w:rPr>
                <w:rFonts w:hint="eastAsia" w:ascii="宋体" w:hAnsi="宋体" w:eastAsia="宋体"/>
                <w:b w:val="0"/>
                <w:sz w:val="24"/>
              </w:rPr>
              <w:t>响应文件格式</w:t>
            </w:r>
            <w:r>
              <w:rPr>
                <w:rFonts w:ascii="宋体" w:hAnsi="宋体" w:eastAsia="宋体"/>
                <w:b w:val="0"/>
                <w:sz w:val="24"/>
              </w:rPr>
              <w:t>）</w:t>
            </w:r>
            <w:r>
              <w:rPr>
                <w:rFonts w:hint="eastAsia" w:ascii="宋体" w:hAnsi="宋体" w:eastAsia="宋体"/>
                <w:b w:val="0"/>
                <w:sz w:val="24"/>
              </w:rPr>
              <w:t>，相关</w:t>
            </w:r>
            <w:r>
              <w:rPr>
                <w:rFonts w:ascii="宋体" w:hAnsi="宋体" w:eastAsia="宋体"/>
                <w:b w:val="0"/>
                <w:sz w:val="24"/>
              </w:rPr>
              <w:t>证明材料</w:t>
            </w:r>
            <w:r>
              <w:rPr>
                <w:rFonts w:hint="eastAsia" w:ascii="宋体" w:hAnsi="宋体" w:eastAsia="宋体"/>
                <w:b w:val="0"/>
                <w:sz w:val="24"/>
              </w:rPr>
              <w:t>由供应商</w:t>
            </w:r>
            <w:r>
              <w:rPr>
                <w:rFonts w:ascii="宋体" w:hAnsi="宋体" w:eastAsia="宋体"/>
                <w:b w:val="0"/>
                <w:sz w:val="24"/>
              </w:rPr>
              <w:t>根据联合协议分工情况及</w:t>
            </w:r>
            <w:r>
              <w:rPr>
                <w:rFonts w:hint="eastAsia" w:ascii="宋体" w:hAnsi="宋体" w:eastAsia="宋体"/>
                <w:b w:val="0"/>
                <w:sz w:val="24"/>
              </w:rPr>
              <w:t>磋商</w:t>
            </w:r>
            <w:r>
              <w:rPr>
                <w:rFonts w:ascii="宋体" w:hAnsi="宋体" w:eastAsia="宋体"/>
                <w:b w:val="0"/>
                <w:sz w:val="24"/>
              </w:rPr>
              <w:t>文件要求提供。</w:t>
            </w:r>
          </w:p>
          <w:p w14:paraId="44E67D73">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联合体各</w:t>
            </w:r>
            <w:r>
              <w:rPr>
                <w:rFonts w:hint="eastAsia" w:ascii="宋体" w:hAnsi="宋体" w:eastAsia="宋体"/>
                <w:b w:val="0"/>
                <w:sz w:val="24"/>
              </w:rPr>
              <w:t>成员单位</w:t>
            </w:r>
            <w:r>
              <w:rPr>
                <w:rFonts w:ascii="宋体" w:hAnsi="宋体" w:eastAsia="宋体"/>
                <w:b w:val="0"/>
                <w:sz w:val="24"/>
              </w:rPr>
              <w:t>均须提供营业执照</w:t>
            </w:r>
            <w:r>
              <w:rPr>
                <w:rFonts w:hint="eastAsia" w:ascii="宋体" w:hAnsi="宋体" w:eastAsia="宋体"/>
                <w:b w:val="0"/>
                <w:sz w:val="24"/>
              </w:rPr>
              <w:t>（或事业单位法人登记证书）和</w:t>
            </w:r>
            <w:r>
              <w:rPr>
                <w:rFonts w:hint="eastAsia" w:ascii="宋体" w:hAnsi="宋体" w:eastAsia="宋体"/>
                <w:b w:val="0"/>
                <w:sz w:val="24"/>
                <w:lang w:eastAsia="zh-CN"/>
              </w:rPr>
              <w:t>无重大违法、不良信用记录声明函</w:t>
            </w:r>
            <w:r>
              <w:rPr>
                <w:rFonts w:hint="eastAsia" w:ascii="宋体" w:hAnsi="宋体" w:eastAsia="宋体"/>
                <w:b w:val="0"/>
                <w:sz w:val="24"/>
              </w:rPr>
              <w:t>。</w:t>
            </w:r>
          </w:p>
        </w:tc>
      </w:tr>
      <w:tr w14:paraId="7FC4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AE4B191">
            <w:pPr>
              <w:pStyle w:val="29"/>
              <w:pBdr>
                <w:bottom w:val="none" w:color="auto" w:sz="0" w:space="0"/>
              </w:pBdr>
              <w:tabs>
                <w:tab w:val="clear" w:pos="4153"/>
                <w:tab w:val="clear" w:pos="8306"/>
              </w:tabs>
              <w:adjustRightInd/>
              <w:spacing w:line="360" w:lineRule="auto"/>
              <w:textAlignment w:val="auto"/>
              <w:rPr>
                <w:rFonts w:hint="eastAsia" w:ascii="宋体" w:hAnsi="宋体" w:eastAsia="宋体"/>
                <w:bCs/>
                <w:kern w:val="2"/>
                <w:lang w:eastAsia="zh-CN"/>
              </w:rPr>
            </w:pPr>
            <w:r>
              <w:rPr>
                <w:rFonts w:ascii="宋体" w:hAnsi="宋体" w:eastAsia="宋体"/>
                <w:bCs/>
                <w:kern w:val="2"/>
              </w:rPr>
              <w:t>3</w:t>
            </w:r>
            <w:r>
              <w:rPr>
                <w:rFonts w:hint="eastAsia" w:ascii="宋体" w:hAnsi="宋体" w:eastAsia="宋体"/>
                <w:bCs/>
                <w:kern w:val="2"/>
                <w:lang w:val="en-US" w:eastAsia="zh-CN"/>
              </w:rPr>
              <w:t>4</w:t>
            </w:r>
            <w:r>
              <w:rPr>
                <w:rFonts w:ascii="宋体" w:hAnsi="宋体" w:eastAsia="宋体"/>
                <w:bCs/>
                <w:kern w:val="2"/>
              </w:rPr>
              <w:t>.</w:t>
            </w:r>
            <w:r>
              <w:rPr>
                <w:rFonts w:hint="eastAsia" w:ascii="宋体" w:hAnsi="宋体" w:eastAsia="宋体"/>
                <w:bCs/>
                <w:kern w:val="2"/>
                <w:lang w:val="en-US" w:eastAsia="zh-CN"/>
              </w:rPr>
              <w:t>2</w:t>
            </w:r>
          </w:p>
        </w:tc>
        <w:tc>
          <w:tcPr>
            <w:tcW w:w="2032" w:type="dxa"/>
            <w:vAlign w:val="center"/>
          </w:tcPr>
          <w:p w14:paraId="498FB191">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color w:val="auto"/>
                <w:sz w:val="24"/>
                <w:highlight w:val="none"/>
              </w:rPr>
              <w:t>社保</w:t>
            </w:r>
            <w:r>
              <w:rPr>
                <w:rFonts w:ascii="宋体" w:hAnsi="宋体" w:eastAsia="宋体"/>
                <w:b w:val="0"/>
                <w:color w:val="auto"/>
                <w:sz w:val="24"/>
                <w:highlight w:val="none"/>
              </w:rPr>
              <w:t>证明材料</w:t>
            </w:r>
            <w:r>
              <w:rPr>
                <w:rFonts w:hint="eastAsia" w:ascii="宋体" w:hAnsi="宋体" w:eastAsia="宋体"/>
                <w:b w:val="0"/>
                <w:i/>
                <w:iCs/>
                <w:color w:val="auto"/>
                <w:sz w:val="24"/>
                <w:highlight w:val="none"/>
                <w:lang w:eastAsia="zh-CN"/>
              </w:rPr>
              <w:t>（</w:t>
            </w:r>
            <w:r>
              <w:rPr>
                <w:rFonts w:hint="eastAsia" w:ascii="宋体" w:hAnsi="宋体" w:eastAsia="宋体"/>
                <w:b w:val="0"/>
                <w:i/>
                <w:iCs/>
                <w:color w:val="auto"/>
                <w:sz w:val="24"/>
                <w:highlight w:val="none"/>
                <w:lang w:val="en-US" w:eastAsia="zh-CN"/>
              </w:rPr>
              <w:t>如有要求</w:t>
            </w:r>
            <w:r>
              <w:rPr>
                <w:rFonts w:hint="eastAsia" w:ascii="宋体" w:hAnsi="宋体" w:eastAsia="宋体"/>
                <w:b w:val="0"/>
                <w:i/>
                <w:iCs/>
                <w:color w:val="auto"/>
                <w:sz w:val="24"/>
                <w:highlight w:val="none"/>
                <w:lang w:eastAsia="zh-CN"/>
              </w:rPr>
              <w:t>）</w:t>
            </w:r>
          </w:p>
        </w:tc>
        <w:tc>
          <w:tcPr>
            <w:tcW w:w="5722" w:type="dxa"/>
            <w:vAlign w:val="center"/>
          </w:tcPr>
          <w:p w14:paraId="1048C62E">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本项目磋商文件中要求提供的社保</w:t>
            </w:r>
            <w:r>
              <w:rPr>
                <w:rFonts w:ascii="宋体" w:hAnsi="宋体" w:eastAsia="宋体"/>
                <w:b w:val="0"/>
                <w:sz w:val="24"/>
              </w:rPr>
              <w:t>证明材料</w:t>
            </w:r>
            <w:r>
              <w:rPr>
                <w:rFonts w:hint="eastAsia" w:ascii="宋体" w:hAnsi="宋体" w:eastAsia="宋体"/>
                <w:b w:val="0"/>
                <w:sz w:val="24"/>
              </w:rPr>
              <w:t>为下述形式之一（响应文件中须提供扫描件）：</w:t>
            </w:r>
          </w:p>
          <w:p w14:paraId="7ED37B68">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（1）</w:t>
            </w:r>
            <w:r>
              <w:rPr>
                <w:rFonts w:ascii="宋体" w:hAnsi="宋体" w:eastAsia="宋体"/>
                <w:b w:val="0"/>
                <w:sz w:val="24"/>
              </w:rPr>
              <w:t>社保局官方网站查询的缴费记录截图；</w:t>
            </w:r>
          </w:p>
          <w:p w14:paraId="1C137C53">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（2）</w:t>
            </w:r>
            <w:r>
              <w:rPr>
                <w:rFonts w:ascii="宋体" w:hAnsi="宋体" w:eastAsia="宋体"/>
                <w:b w:val="0"/>
                <w:sz w:val="24"/>
              </w:rPr>
              <w:t>社保局的书面证明材料；</w:t>
            </w:r>
          </w:p>
          <w:p w14:paraId="0DE74B91">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（3）</w:t>
            </w:r>
            <w:r>
              <w:rPr>
                <w:rFonts w:ascii="宋体" w:hAnsi="宋体" w:eastAsia="宋体"/>
                <w:b w:val="0"/>
                <w:sz w:val="24"/>
              </w:rPr>
              <w:t>经</w:t>
            </w:r>
            <w:r>
              <w:rPr>
                <w:rFonts w:hint="eastAsia" w:ascii="宋体" w:hAnsi="宋体" w:eastAsia="宋体"/>
                <w:b w:val="0"/>
                <w:sz w:val="24"/>
              </w:rPr>
              <w:t>供应商</w:t>
            </w:r>
            <w:r>
              <w:rPr>
                <w:rFonts w:ascii="宋体" w:hAnsi="宋体" w:eastAsia="宋体"/>
                <w:b w:val="0"/>
                <w:sz w:val="24"/>
              </w:rPr>
              <w:t>委托的第三方人力资源服务机构或与</w:t>
            </w:r>
            <w:r>
              <w:rPr>
                <w:rFonts w:hint="eastAsia" w:ascii="宋体" w:hAnsi="宋体" w:eastAsia="宋体"/>
                <w:b w:val="0"/>
                <w:sz w:val="24"/>
              </w:rPr>
              <w:t>供应商</w:t>
            </w:r>
            <w:r>
              <w:rPr>
                <w:rFonts w:ascii="宋体" w:hAnsi="宋体" w:eastAsia="宋体"/>
                <w:b w:val="0"/>
                <w:sz w:val="24"/>
              </w:rPr>
              <w:t>有直接隶属关系的机构可以代缴社保，但须提供有关证明材料并经</w:t>
            </w:r>
            <w:r>
              <w:rPr>
                <w:rFonts w:hint="eastAsia" w:ascii="宋体" w:hAnsi="宋体" w:eastAsia="宋体"/>
                <w:b w:val="0"/>
                <w:sz w:val="24"/>
              </w:rPr>
              <w:t>磋商小组</w:t>
            </w:r>
            <w:r>
              <w:rPr>
                <w:rFonts w:ascii="宋体" w:hAnsi="宋体" w:eastAsia="宋体"/>
                <w:b w:val="0"/>
                <w:sz w:val="24"/>
              </w:rPr>
              <w:t>确认。</w:t>
            </w:r>
          </w:p>
          <w:p w14:paraId="35B9E849">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（4）</w:t>
            </w:r>
            <w:r>
              <w:rPr>
                <w:rFonts w:ascii="宋体" w:hAnsi="宋体" w:eastAsia="宋体"/>
                <w:b w:val="0"/>
                <w:sz w:val="24"/>
              </w:rPr>
              <w:t>参与</w:t>
            </w:r>
            <w:r>
              <w:rPr>
                <w:rFonts w:hint="eastAsia" w:ascii="宋体" w:hAnsi="宋体" w:eastAsia="宋体"/>
                <w:b w:val="0"/>
                <w:sz w:val="24"/>
              </w:rPr>
              <w:t>磋商</w:t>
            </w:r>
            <w:r>
              <w:rPr>
                <w:rFonts w:ascii="宋体" w:hAnsi="宋体" w:eastAsia="宋体"/>
                <w:b w:val="0"/>
                <w:sz w:val="24"/>
              </w:rPr>
              <w:t>的院校，社保证明可以用以下任意一种：</w:t>
            </w:r>
          </w:p>
          <w:p w14:paraId="49FC771F">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①</w:t>
            </w:r>
            <w:r>
              <w:rPr>
                <w:rFonts w:ascii="宋体" w:hAnsi="宋体" w:eastAsia="宋体"/>
                <w:b w:val="0"/>
                <w:sz w:val="24"/>
              </w:rPr>
              <w:t>加盖</w:t>
            </w:r>
            <w:r>
              <w:rPr>
                <w:rFonts w:hint="eastAsia" w:ascii="宋体" w:hAnsi="宋体" w:eastAsia="宋体"/>
                <w:b w:val="0"/>
                <w:sz w:val="24"/>
              </w:rPr>
              <w:t>供应商</w:t>
            </w:r>
            <w:r>
              <w:rPr>
                <w:rFonts w:ascii="宋体" w:hAnsi="宋体" w:eastAsia="宋体"/>
                <w:b w:val="0"/>
                <w:sz w:val="24"/>
              </w:rPr>
              <w:t>公章的教师证（须为本</w:t>
            </w:r>
            <w:r>
              <w:rPr>
                <w:rFonts w:hint="eastAsia" w:ascii="宋体" w:hAnsi="宋体" w:eastAsia="宋体"/>
                <w:b w:val="0"/>
                <w:sz w:val="24"/>
              </w:rPr>
              <w:t>单位</w:t>
            </w:r>
            <w:r>
              <w:rPr>
                <w:rFonts w:ascii="宋体" w:hAnsi="宋体" w:eastAsia="宋体"/>
                <w:b w:val="0"/>
                <w:sz w:val="24"/>
              </w:rPr>
              <w:t>人员）</w:t>
            </w:r>
            <w:r>
              <w:rPr>
                <w:rFonts w:hint="eastAsia" w:ascii="宋体" w:hAnsi="宋体" w:eastAsia="宋体"/>
                <w:b w:val="0"/>
                <w:sz w:val="24"/>
              </w:rPr>
              <w:t>；</w:t>
            </w:r>
          </w:p>
          <w:p w14:paraId="0B87893C">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②</w:t>
            </w:r>
            <w:r>
              <w:rPr>
                <w:rFonts w:ascii="宋体" w:hAnsi="宋体" w:eastAsia="宋体"/>
                <w:b w:val="0"/>
                <w:sz w:val="24"/>
              </w:rPr>
              <w:t>医保证明材料</w:t>
            </w:r>
            <w:r>
              <w:rPr>
                <w:rFonts w:hint="eastAsia" w:ascii="宋体" w:hAnsi="宋体" w:eastAsia="宋体"/>
                <w:b w:val="0"/>
                <w:sz w:val="24"/>
              </w:rPr>
              <w:t>。</w:t>
            </w:r>
          </w:p>
          <w:p w14:paraId="6E7F1CE4">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（5）</w:t>
            </w:r>
            <w:r>
              <w:rPr>
                <w:rFonts w:ascii="宋体" w:hAnsi="宋体" w:eastAsia="宋体"/>
                <w:b w:val="0"/>
                <w:sz w:val="24"/>
              </w:rPr>
              <w:t>其他经</w:t>
            </w:r>
            <w:r>
              <w:rPr>
                <w:rFonts w:hint="eastAsia" w:ascii="宋体" w:hAnsi="宋体" w:eastAsia="宋体"/>
                <w:b w:val="0"/>
                <w:sz w:val="24"/>
              </w:rPr>
              <w:t>磋商小组</w:t>
            </w:r>
            <w:r>
              <w:rPr>
                <w:rFonts w:ascii="宋体" w:hAnsi="宋体" w:eastAsia="宋体"/>
                <w:b w:val="0"/>
                <w:sz w:val="24"/>
              </w:rPr>
              <w:t>认可的证明材料。</w:t>
            </w:r>
          </w:p>
          <w:p w14:paraId="5C36BD42">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（6）法定代表人参与项目的，无需提供社保证明材料，提供身份证明材料即可。</w:t>
            </w:r>
          </w:p>
        </w:tc>
      </w:tr>
      <w:tr w14:paraId="41B948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67AC3712">
            <w:pPr>
              <w:pStyle w:val="29"/>
              <w:pBdr>
                <w:bottom w:val="none" w:color="auto" w:sz="0" w:space="0"/>
              </w:pBdr>
              <w:tabs>
                <w:tab w:val="clear" w:pos="4153"/>
                <w:tab w:val="clear" w:pos="8306"/>
              </w:tabs>
              <w:adjustRightInd/>
              <w:spacing w:line="360" w:lineRule="auto"/>
              <w:textAlignment w:val="auto"/>
              <w:rPr>
                <w:rFonts w:hint="eastAsia" w:ascii="宋体" w:hAnsi="宋体" w:eastAsia="宋体"/>
                <w:bCs/>
                <w:kern w:val="2"/>
                <w:lang w:eastAsia="zh-CN"/>
              </w:rPr>
            </w:pPr>
            <w:r>
              <w:rPr>
                <w:rFonts w:ascii="宋体" w:hAnsi="宋体" w:eastAsia="宋体"/>
                <w:bCs/>
                <w:kern w:val="2"/>
              </w:rPr>
              <w:t>3</w:t>
            </w:r>
            <w:r>
              <w:rPr>
                <w:rFonts w:hint="eastAsia" w:ascii="宋体" w:hAnsi="宋体" w:eastAsia="宋体"/>
                <w:bCs/>
                <w:kern w:val="2"/>
                <w:lang w:val="en-US" w:eastAsia="zh-CN"/>
              </w:rPr>
              <w:t>4</w:t>
            </w:r>
            <w:r>
              <w:rPr>
                <w:rFonts w:ascii="宋体" w:hAnsi="宋体" w:eastAsia="宋体"/>
                <w:bCs/>
                <w:kern w:val="2"/>
              </w:rPr>
              <w:t>.</w:t>
            </w:r>
            <w:r>
              <w:rPr>
                <w:rFonts w:hint="eastAsia" w:ascii="宋体" w:hAnsi="宋体" w:eastAsia="宋体"/>
                <w:bCs/>
                <w:kern w:val="2"/>
                <w:lang w:val="en-US" w:eastAsia="zh-CN"/>
              </w:rPr>
              <w:t>3</w:t>
            </w:r>
          </w:p>
        </w:tc>
        <w:tc>
          <w:tcPr>
            <w:tcW w:w="2032" w:type="dxa"/>
            <w:vAlign w:val="center"/>
          </w:tcPr>
          <w:p w14:paraId="7F94A12D">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本项目提供除电子版磋商文件以外的其他资料</w:t>
            </w:r>
          </w:p>
        </w:tc>
        <w:tc>
          <w:tcPr>
            <w:tcW w:w="5722" w:type="dxa"/>
            <w:vAlign w:val="center"/>
          </w:tcPr>
          <w:p w14:paraId="5E17B79D">
            <w:pPr>
              <w:spacing w:line="360" w:lineRule="auto"/>
              <w:rPr>
                <w:rFonts w:asciiTheme="minorEastAsia" w:hAnsiTheme="minorEastAsia" w:eastAsiaTheme="minorEastAsia"/>
                <w:color w:val="000000" w:themeColor="text1"/>
                <w:sz w:val="24"/>
                <w:u w:val="single"/>
                <w14:textFill>
                  <w14:solidFill>
                    <w14:schemeClr w14:val="tx1"/>
                  </w14:solidFill>
                </w14:textFill>
              </w:rPr>
            </w:pPr>
            <w:r>
              <w:rPr>
                <w:rFonts w:hint="eastAsia" w:ascii="宋体" w:hAnsi="宋体" w:eastAsia="宋体"/>
                <w:color w:val="000000" w:themeColor="text1"/>
                <w:kern w:val="0"/>
                <w:sz w:val="24"/>
                <w:szCs w:val="28"/>
                <w14:textFill>
                  <w14:solidFill>
                    <w14:schemeClr w14:val="tx1"/>
                  </w14:solidFill>
                </w14:textFill>
              </w:rPr>
              <w:sym w:font="Wingdings" w:char="00FE"/>
            </w:r>
            <w:r>
              <w:rPr>
                <w:rFonts w:hint="eastAsia" w:asciiTheme="minorEastAsia" w:hAnsiTheme="minorEastAsia" w:eastAsiaTheme="minorEastAsia"/>
                <w:color w:val="000000" w:themeColor="text1"/>
                <w:sz w:val="24"/>
                <w14:textFill>
                  <w14:solidFill>
                    <w14:schemeClr w14:val="tx1"/>
                  </w14:solidFill>
                </w14:textFill>
              </w:rPr>
              <w:t>无   □图纸   □光盘   □</w:t>
            </w:r>
            <w:r>
              <w:rPr>
                <w:rFonts w:hint="eastAsia" w:asciiTheme="minorEastAsia" w:hAnsiTheme="minorEastAsia" w:eastAsiaTheme="minorEastAsia"/>
                <w:color w:val="000000" w:themeColor="text1"/>
                <w:sz w:val="24"/>
                <w:u w:val="single"/>
                <w14:textFill>
                  <w14:solidFill>
                    <w14:schemeClr w14:val="tx1"/>
                  </w14:solidFill>
                </w14:textFill>
              </w:rPr>
              <w:t xml:space="preserve"> </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w:t>
            </w:r>
            <w:r>
              <w:rPr>
                <w:rFonts w:hint="eastAsia" w:asciiTheme="minorEastAsia" w:hAnsiTheme="minorEastAsia" w:eastAsiaTheme="minorEastAsia"/>
                <w:color w:val="000000" w:themeColor="text1"/>
                <w:sz w:val="24"/>
                <w:u w:val="single"/>
                <w14:textFill>
                  <w14:solidFill>
                    <w14:schemeClr w14:val="tx1"/>
                  </w14:solidFill>
                </w14:textFill>
              </w:rPr>
              <w:t xml:space="preserve">  </w:t>
            </w:r>
          </w:p>
          <w:p w14:paraId="28EBC875">
            <w:pPr>
              <w:spacing w:line="360" w:lineRule="auto"/>
              <w:rPr>
                <w:rFonts w:asciiTheme="minorEastAsia" w:hAnsiTheme="minorEastAsia" w:eastAsiaTheme="minorEastAsia"/>
                <w:bCs/>
                <w:sz w:val="24"/>
              </w:rPr>
            </w:pPr>
            <w:r>
              <w:rPr>
                <w:rFonts w:hint="eastAsia" w:asciiTheme="minorEastAsia" w:hAnsiTheme="minorEastAsia" w:eastAsiaTheme="minorEastAsia"/>
                <w:bCs/>
                <w:sz w:val="24"/>
              </w:rPr>
              <w:t>获取方式：</w:t>
            </w:r>
          </w:p>
          <w:p w14:paraId="45597B1A">
            <w:pPr>
              <w:pStyle w:val="28"/>
              <w:widowControl w:val="0"/>
              <w:spacing w:before="0" w:beforeAutospacing="0" w:after="0" w:afterAutospacing="0" w:line="360" w:lineRule="auto"/>
              <w:jc w:val="both"/>
              <w:rPr>
                <w:rFonts w:ascii="宋体" w:hAnsi="宋体" w:eastAsia="宋体"/>
                <w:b w:val="0"/>
                <w:i/>
                <w:sz w:val="24"/>
              </w:rPr>
            </w:pPr>
            <w:r>
              <w:rPr>
                <w:rFonts w:hint="eastAsia" w:asciiTheme="minorEastAsia" w:hAnsiTheme="minorEastAsia" w:eastAsiaTheme="minorEastAsia"/>
                <w:b w:val="0"/>
                <w:sz w:val="24"/>
              </w:rPr>
              <w:t>上述资料请供应商在获取磋商文件后，自行登陆电子</w:t>
            </w:r>
            <w:r>
              <w:rPr>
                <w:rFonts w:hint="eastAsia" w:asciiTheme="minorEastAsia" w:hAnsiTheme="minorEastAsia" w:eastAsiaTheme="minorEastAsia"/>
                <w:b w:val="0"/>
                <w:bCs w:val="0"/>
                <w:sz w:val="24"/>
              </w:rPr>
              <w:t>交易</w:t>
            </w:r>
            <w:r>
              <w:rPr>
                <w:rFonts w:hint="eastAsia" w:asciiTheme="minorEastAsia" w:hAnsiTheme="minorEastAsia" w:eastAsiaTheme="minorEastAsia"/>
                <w:b w:val="0"/>
                <w:sz w:val="24"/>
              </w:rPr>
              <w:t>系统下载本项目附件。</w:t>
            </w:r>
          </w:p>
        </w:tc>
      </w:tr>
      <w:tr w14:paraId="6A86E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CC7F120">
            <w:pPr>
              <w:pStyle w:val="29"/>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lang w:val="en-US" w:eastAsia="zh-CN"/>
              </w:rPr>
              <w:t>34.4</w:t>
            </w:r>
          </w:p>
        </w:tc>
        <w:tc>
          <w:tcPr>
            <w:tcW w:w="2032" w:type="dxa"/>
            <w:vAlign w:val="center"/>
          </w:tcPr>
          <w:p w14:paraId="004F15F1">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重要提示</w:t>
            </w:r>
          </w:p>
        </w:tc>
        <w:tc>
          <w:tcPr>
            <w:tcW w:w="5722" w:type="dxa"/>
            <w:vAlign w:val="center"/>
          </w:tcPr>
          <w:p w14:paraId="11D40099">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1</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应在规定期限内提交履约担保并与</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人签订合同，若</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未能在规定期限内提交履约担保或签订合同，采购人有权取消</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资格</w:t>
            </w:r>
            <w:r>
              <w:rPr>
                <w:rFonts w:hint="eastAsia" w:asciiTheme="minorEastAsia" w:hAnsiTheme="minorEastAsia" w:eastAsiaTheme="minorEastAsia"/>
                <w:bCs/>
                <w:sz w:val="24"/>
                <w:szCs w:val="24"/>
              </w:rPr>
              <w:t>；</w:t>
            </w:r>
          </w:p>
          <w:p w14:paraId="397337B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2</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合同签订后，成交供应商存在规定时间内不组织人员进场开工，不履行供货、安装或服务义务等情况，采购人有权解除合同，并追究违约责任；</w:t>
            </w:r>
          </w:p>
          <w:p w14:paraId="77DBE8DE">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3</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成交供应商成交</w:t>
            </w:r>
            <w:r>
              <w:rPr>
                <w:rFonts w:asciiTheme="minorEastAsia" w:hAnsiTheme="minorEastAsia" w:eastAsiaTheme="minorEastAsia"/>
                <w:bCs/>
                <w:sz w:val="24"/>
                <w:szCs w:val="24"/>
              </w:rPr>
              <w:t>后被监管部门查实存在违法行为，不满足</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条件的，由采购人取消</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资格，并做好项目后续工作</w:t>
            </w:r>
            <w:r>
              <w:rPr>
                <w:rFonts w:hint="eastAsia" w:asciiTheme="minorEastAsia" w:hAnsiTheme="minorEastAsia" w:eastAsiaTheme="minorEastAsia"/>
                <w:bCs/>
                <w:sz w:val="24"/>
                <w:szCs w:val="24"/>
              </w:rPr>
              <w:t>；</w:t>
            </w:r>
          </w:p>
          <w:p w14:paraId="478B5B83">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w:t>
            </w:r>
            <w:r>
              <w:rPr>
                <w:rFonts w:hint="eastAsia" w:asciiTheme="minorEastAsia" w:hAnsiTheme="minorEastAsia" w:eastAsiaTheme="minorEastAsia"/>
                <w:bCs/>
                <w:sz w:val="24"/>
                <w:szCs w:val="24"/>
                <w:lang w:val="en-US" w:eastAsia="zh-CN"/>
              </w:rPr>
              <w:t>4</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成交供应商</w:t>
            </w:r>
            <w:r>
              <w:rPr>
                <w:rFonts w:asciiTheme="minorEastAsia" w:hAnsiTheme="minorEastAsia" w:eastAsiaTheme="minorEastAsia"/>
                <w:bCs/>
                <w:sz w:val="24"/>
                <w:szCs w:val="24"/>
              </w:rPr>
              <w:t>在</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项目发生投诉、信访举报案件、履约存在争议时，拒绝协助配合执法部门调查案件的，采购人可以取消其</w:t>
            </w:r>
            <w:r>
              <w:rPr>
                <w:rFonts w:hint="eastAsia" w:asciiTheme="minorEastAsia" w:hAnsiTheme="minorEastAsia" w:eastAsiaTheme="minorEastAsia"/>
                <w:bCs/>
                <w:sz w:val="24"/>
                <w:szCs w:val="24"/>
              </w:rPr>
              <w:t>成交</w:t>
            </w:r>
            <w:r>
              <w:rPr>
                <w:rFonts w:asciiTheme="minorEastAsia" w:hAnsiTheme="minorEastAsia" w:eastAsiaTheme="minorEastAsia"/>
                <w:bCs/>
                <w:sz w:val="24"/>
                <w:szCs w:val="24"/>
              </w:rPr>
              <w:t>资格或解除合同，并追究其违约责任。</w:t>
            </w:r>
          </w:p>
        </w:tc>
      </w:tr>
      <w:tr w14:paraId="67A51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0B633391">
            <w:pPr>
              <w:pStyle w:val="29"/>
              <w:pBdr>
                <w:bottom w:val="none" w:color="auto" w:sz="0" w:space="0"/>
              </w:pBdr>
              <w:tabs>
                <w:tab w:val="clear" w:pos="4153"/>
                <w:tab w:val="clear" w:pos="8306"/>
              </w:tabs>
              <w:adjustRightInd/>
              <w:spacing w:line="360" w:lineRule="auto"/>
              <w:textAlignment w:val="auto"/>
              <w:rPr>
                <w:rFonts w:hint="default" w:ascii="宋体" w:hAnsi="宋体" w:eastAsia="宋体"/>
                <w:bCs/>
                <w:kern w:val="2"/>
                <w:lang w:val="en-US" w:eastAsia="zh-CN"/>
              </w:rPr>
            </w:pPr>
            <w:r>
              <w:rPr>
                <w:rFonts w:hint="eastAsia" w:ascii="宋体" w:hAnsi="宋体" w:eastAsia="宋体"/>
                <w:bCs/>
                <w:kern w:val="2"/>
              </w:rPr>
              <w:t>3</w:t>
            </w:r>
            <w:r>
              <w:rPr>
                <w:rFonts w:hint="eastAsia" w:ascii="宋体" w:hAnsi="宋体" w:eastAsia="宋体"/>
                <w:bCs/>
                <w:kern w:val="2"/>
                <w:lang w:val="en-US" w:eastAsia="zh-CN"/>
              </w:rPr>
              <w:t>4.5</w:t>
            </w:r>
          </w:p>
        </w:tc>
        <w:tc>
          <w:tcPr>
            <w:tcW w:w="2032" w:type="dxa"/>
            <w:vAlign w:val="center"/>
          </w:tcPr>
          <w:p w14:paraId="2D2CD3BC">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rPr>
              <w:t>解释权</w:t>
            </w:r>
          </w:p>
        </w:tc>
        <w:tc>
          <w:tcPr>
            <w:tcW w:w="5722" w:type="dxa"/>
            <w:vAlign w:val="center"/>
          </w:tcPr>
          <w:p w14:paraId="3A2131B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磋商</w:t>
            </w:r>
            <w:r>
              <w:rPr>
                <w:rFonts w:asciiTheme="minorEastAsia" w:hAnsiTheme="minorEastAsia" w:eastAsiaTheme="minorEastAsia"/>
                <w:bCs/>
                <w:sz w:val="24"/>
                <w:szCs w:val="24"/>
              </w:rPr>
              <w:t>文件的各个组成文件应互为解释，互为说明；</w:t>
            </w:r>
          </w:p>
          <w:p w14:paraId="63D75FB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1F0981F7">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0B469965">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磋商</w:t>
            </w:r>
            <w:r>
              <w:rPr>
                <w:rFonts w:asciiTheme="minorEastAsia" w:hAnsiTheme="minorEastAsia" w:eastAsiaTheme="minorEastAsia"/>
                <w:bCs/>
                <w:sz w:val="24"/>
                <w:szCs w:val="24"/>
              </w:rPr>
              <w:t>文件中有特别规定外，仅适用于</w:t>
            </w:r>
            <w:r>
              <w:rPr>
                <w:rFonts w:hint="eastAsia" w:asciiTheme="minorEastAsia" w:hAnsiTheme="minorEastAsia" w:eastAsiaTheme="minorEastAsia"/>
                <w:bCs/>
                <w:sz w:val="24"/>
                <w:szCs w:val="24"/>
              </w:rPr>
              <w:t>磋商及响应文件提交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竞争性磋商</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磋商邀请、供应商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312AEB9B">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（5）</w:t>
            </w:r>
            <w:r>
              <w:rPr>
                <w:rFonts w:asciiTheme="minorEastAsia" w:hAnsiTheme="minorEastAsia" w:eastAsiaTheme="minorEastAsia"/>
                <w:bCs/>
                <w:sz w:val="24"/>
                <w:szCs w:val="24"/>
              </w:rPr>
              <w:t>按本款前述规定仍不能形成结论的，由</w:t>
            </w:r>
            <w:r>
              <w:rPr>
                <w:rFonts w:hint="eastAsia" w:asciiTheme="minorEastAsia" w:hAnsiTheme="minorEastAsia" w:eastAsiaTheme="minorEastAsia"/>
                <w:bCs/>
                <w:sz w:val="24"/>
                <w:szCs w:val="24"/>
              </w:rPr>
              <w:t>采购</w:t>
            </w:r>
            <w:r>
              <w:rPr>
                <w:rFonts w:asciiTheme="minorEastAsia" w:hAnsiTheme="minorEastAsia" w:eastAsiaTheme="minorEastAsia"/>
                <w:bCs/>
                <w:sz w:val="24"/>
                <w:szCs w:val="24"/>
              </w:rPr>
              <w:t>人负责解释。</w:t>
            </w:r>
          </w:p>
        </w:tc>
      </w:tr>
      <w:tr w14:paraId="3AE702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A432B0E">
            <w:pPr>
              <w:pStyle w:val="28"/>
              <w:widowControl w:val="0"/>
              <w:spacing w:before="0" w:beforeAutospacing="0" w:after="0" w:afterAutospacing="0" w:line="360" w:lineRule="auto"/>
              <w:jc w:val="center"/>
              <w:rPr>
                <w:rFonts w:hint="default" w:ascii="宋体" w:hAnsi="宋体" w:eastAsia="宋体"/>
                <w:bCs/>
                <w:kern w:val="2"/>
                <w:lang w:val="en-US" w:eastAsia="zh-CN"/>
              </w:rPr>
            </w:pPr>
            <w:r>
              <w:rPr>
                <w:rFonts w:hint="eastAsia" w:ascii="宋体" w:hAnsi="宋体" w:eastAsia="宋体"/>
                <w:b w:val="0"/>
                <w:sz w:val="24"/>
                <w:highlight w:val="none"/>
                <w:lang w:val="en-US" w:eastAsia="zh-CN"/>
              </w:rPr>
              <w:t>34.6</w:t>
            </w:r>
          </w:p>
        </w:tc>
        <w:tc>
          <w:tcPr>
            <w:tcW w:w="2032" w:type="dxa"/>
            <w:vAlign w:val="center"/>
          </w:tcPr>
          <w:p w14:paraId="12DB1051">
            <w:pPr>
              <w:pStyle w:val="28"/>
              <w:widowControl w:val="0"/>
              <w:spacing w:before="0" w:beforeAutospacing="0" w:after="0" w:afterAutospacing="0" w:line="360" w:lineRule="auto"/>
              <w:jc w:val="both"/>
              <w:rPr>
                <w:rFonts w:ascii="宋体" w:hAnsi="宋体" w:eastAsia="宋体"/>
                <w:b w:val="0"/>
                <w:sz w:val="24"/>
              </w:rPr>
            </w:pPr>
            <w:r>
              <w:rPr>
                <w:rFonts w:hint="eastAsia" w:ascii="宋体" w:hAnsi="宋体" w:eastAsia="宋体"/>
                <w:b w:val="0"/>
                <w:sz w:val="24"/>
                <w:highlight w:val="none"/>
              </w:rPr>
              <w:t>特别提醒</w:t>
            </w:r>
          </w:p>
        </w:tc>
        <w:tc>
          <w:tcPr>
            <w:tcW w:w="5722" w:type="dxa"/>
            <w:vAlign w:val="center"/>
          </w:tcPr>
          <w:p w14:paraId="6452FE42">
            <w:pPr>
              <w:spacing w:line="360" w:lineRule="auto"/>
              <w:rPr>
                <w:rFonts w:hint="eastAsia" w:cs="@仿宋_GB2312" w:asciiTheme="minorEastAsia" w:hAnsiTheme="minorEastAsia" w:eastAsiaTheme="minorEastAsia"/>
                <w:b w:val="0"/>
                <w:bCs/>
                <w:kern w:val="2"/>
                <w:sz w:val="24"/>
                <w:szCs w:val="24"/>
                <w:lang w:val="en-US" w:eastAsia="zh-CN" w:bidi="ar-SA"/>
              </w:rPr>
            </w:pPr>
            <w:r>
              <w:rPr>
                <w:rFonts w:hint="eastAsia" w:cs="@仿宋_GB2312" w:asciiTheme="minorEastAsia" w:hAnsiTheme="minorEastAsia" w:eastAsiaTheme="minorEastAsia"/>
                <w:b w:val="0"/>
                <w:bCs/>
                <w:kern w:val="2"/>
                <w:sz w:val="24"/>
                <w:szCs w:val="24"/>
                <w:lang w:val="en-US" w:eastAsia="zh-CN" w:bidi="ar-SA"/>
              </w:rPr>
              <w:t>（1）本项目评审时将查询响应文件制作机器码，如不同响应文件的响应文件制作机器码相同，将被认定为响应无效。</w:t>
            </w:r>
          </w:p>
          <w:p w14:paraId="6C213FC8">
            <w:pPr>
              <w:pStyle w:val="28"/>
              <w:widowControl w:val="0"/>
              <w:spacing w:before="0" w:beforeAutospacing="0" w:after="0" w:afterAutospacing="0" w:line="360" w:lineRule="auto"/>
              <w:jc w:val="both"/>
              <w:rPr>
                <w:rFonts w:ascii="宋体" w:hAnsi="宋体" w:eastAsia="宋体"/>
                <w:b w:val="0"/>
                <w:sz w:val="24"/>
                <w:u w:val="single"/>
              </w:rPr>
            </w:pPr>
            <w:r>
              <w:rPr>
                <w:rFonts w:hint="eastAsia" w:cs="@仿宋_GB2312" w:asciiTheme="minorEastAsia" w:hAnsiTheme="minorEastAsia" w:eastAsiaTheme="minorEastAsia"/>
                <w:b w:val="0"/>
                <w:bCs/>
                <w:kern w:val="2"/>
                <w:sz w:val="24"/>
                <w:szCs w:val="24"/>
                <w:lang w:val="en-US" w:eastAsia="zh-CN" w:bidi="ar-SA"/>
              </w:rPr>
              <w:t>（2）因电子服务系统或电子交易系统出现软件设计或功能缺陷、运行异常等情况，影响政府采购活动正常进行的，政府采购各方当事人免责。</w:t>
            </w:r>
          </w:p>
        </w:tc>
      </w:tr>
      <w:tr w14:paraId="3833B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30284900">
            <w:pPr>
              <w:pStyle w:val="29"/>
              <w:pBdr>
                <w:bottom w:val="none" w:color="auto" w:sz="0" w:space="0"/>
              </w:pBdr>
              <w:tabs>
                <w:tab w:val="clear" w:pos="4153"/>
                <w:tab w:val="clear" w:pos="8306"/>
              </w:tabs>
              <w:adjustRightInd/>
              <w:spacing w:line="240" w:lineRule="auto"/>
              <w:textAlignment w:val="auto"/>
              <w:outlineLvl w:val="1"/>
              <w:rPr>
                <w:rFonts w:hint="eastAsia" w:ascii="宋体" w:hAnsi="宋体" w:eastAsia="宋体"/>
                <w:bCs/>
                <w:kern w:val="2"/>
              </w:rPr>
            </w:pPr>
            <w:r>
              <w:rPr>
                <w:rFonts w:hint="eastAsia" w:ascii="宋体" w:hAnsi="宋体" w:eastAsia="宋体"/>
                <w:bCs/>
                <w:kern w:val="2"/>
                <w:highlight w:val="none"/>
              </w:rPr>
              <w:t>3</w:t>
            </w:r>
            <w:r>
              <w:rPr>
                <w:rFonts w:hint="eastAsia" w:ascii="宋体" w:hAnsi="宋体" w:eastAsia="宋体"/>
                <w:bCs/>
                <w:kern w:val="2"/>
                <w:highlight w:val="none"/>
                <w:lang w:val="en-US" w:eastAsia="zh-CN"/>
              </w:rPr>
              <w:t>4</w:t>
            </w:r>
            <w:r>
              <w:rPr>
                <w:rFonts w:hint="eastAsia" w:ascii="宋体" w:hAnsi="宋体" w:eastAsia="宋体"/>
                <w:bCs/>
                <w:kern w:val="2"/>
                <w:highlight w:val="none"/>
              </w:rPr>
              <w:t>.</w:t>
            </w:r>
            <w:r>
              <w:rPr>
                <w:rFonts w:hint="eastAsia" w:ascii="宋体" w:hAnsi="宋体" w:eastAsia="宋体"/>
                <w:bCs/>
                <w:kern w:val="2"/>
                <w:highlight w:val="none"/>
                <w:lang w:val="en-US" w:eastAsia="zh-CN"/>
              </w:rPr>
              <w:t>7</w:t>
            </w:r>
          </w:p>
        </w:tc>
        <w:tc>
          <w:tcPr>
            <w:tcW w:w="2032" w:type="dxa"/>
            <w:vAlign w:val="center"/>
          </w:tcPr>
          <w:p w14:paraId="12AB2380">
            <w:pPr>
              <w:pStyle w:val="28"/>
              <w:widowControl w:val="0"/>
              <w:spacing w:before="0" w:beforeAutospacing="0" w:after="0" w:afterAutospacing="0" w:line="360" w:lineRule="auto"/>
              <w:jc w:val="both"/>
              <w:outlineLvl w:val="1"/>
              <w:rPr>
                <w:rFonts w:hint="eastAsia" w:ascii="宋体" w:hAnsi="宋体" w:eastAsia="宋体"/>
                <w:b w:val="0"/>
                <w:sz w:val="24"/>
              </w:rPr>
            </w:pPr>
            <w:r>
              <w:rPr>
                <w:rFonts w:hint="eastAsia" w:ascii="宋体" w:hAnsi="宋体" w:eastAsia="宋体"/>
                <w:b w:val="0"/>
                <w:sz w:val="24"/>
                <w:highlight w:val="none"/>
              </w:rPr>
              <w:t>其他补充说明</w:t>
            </w:r>
          </w:p>
        </w:tc>
        <w:tc>
          <w:tcPr>
            <w:tcW w:w="5722" w:type="dxa"/>
            <w:vAlign w:val="center"/>
          </w:tcPr>
          <w:p w14:paraId="2EC38A4C">
            <w:pPr>
              <w:pStyle w:val="28"/>
              <w:widowControl w:val="0"/>
              <w:spacing w:before="0" w:beforeAutospacing="0" w:after="0" w:afterAutospacing="0" w:line="360" w:lineRule="auto"/>
              <w:jc w:val="both"/>
              <w:outlineLvl w:val="1"/>
              <w:rPr>
                <w:rFonts w:hint="eastAsia" w:ascii="宋体" w:hAnsi="宋体" w:eastAsia="宋体"/>
                <w:b w:val="0"/>
                <w:sz w:val="24"/>
                <w:u w:val="single"/>
              </w:rPr>
            </w:pPr>
            <w:r>
              <w:rPr>
                <w:rFonts w:hint="eastAsia" w:ascii="宋体" w:hAnsi="宋体" w:eastAsia="宋体"/>
                <w:b w:val="0"/>
                <w:sz w:val="24"/>
                <w:highlight w:val="none"/>
                <w:u w:val="single"/>
              </w:rPr>
              <w:t xml:space="preserve">   无   </w:t>
            </w:r>
          </w:p>
        </w:tc>
      </w:tr>
    </w:tbl>
    <w:p w14:paraId="1CA15FA7">
      <w:pPr>
        <w:spacing w:line="360" w:lineRule="auto"/>
        <w:jc w:val="center"/>
        <w:outlineLvl w:val="2"/>
        <w:rPr>
          <w:rFonts w:asciiTheme="minorEastAsia" w:hAnsiTheme="minorEastAsia" w:eastAsiaTheme="minorEastAsia"/>
          <w:b/>
          <w:sz w:val="24"/>
        </w:rPr>
      </w:pPr>
      <w:r>
        <w:rPr>
          <w:rFonts w:asciiTheme="minorEastAsia" w:hAnsiTheme="minorEastAsia" w:eastAsiaTheme="minorEastAsia"/>
          <w:b/>
          <w:sz w:val="28"/>
        </w:rPr>
        <w:br w:type="page"/>
      </w:r>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p>
    <w:p w14:paraId="71AE5686">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适用范围</w:t>
      </w:r>
    </w:p>
    <w:p w14:paraId="3A5FA313">
      <w:pPr>
        <w:spacing w:line="360" w:lineRule="auto"/>
        <w:ind w:firstLine="435"/>
        <w:rPr>
          <w:rFonts w:ascii="宋体" w:hAnsi="宋体" w:eastAsia="宋体"/>
          <w:sz w:val="24"/>
        </w:rPr>
      </w:pPr>
      <w:r>
        <w:rPr>
          <w:rFonts w:ascii="宋体" w:hAnsi="宋体" w:eastAsia="宋体"/>
          <w:sz w:val="24"/>
        </w:rPr>
        <w:t>1.1</w:t>
      </w:r>
      <w:r>
        <w:rPr>
          <w:rFonts w:hint="eastAsia" w:ascii="宋体" w:hAnsi="宋体" w:eastAsia="宋体"/>
          <w:sz w:val="24"/>
        </w:rPr>
        <w:t>本磋商文件仅适用于本次磋商所述的服务项目采购。</w:t>
      </w:r>
    </w:p>
    <w:p w14:paraId="7341494F">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定义</w:t>
      </w:r>
    </w:p>
    <w:p w14:paraId="00D38E1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服务：系指除货物和工程以外的其他采购对象，包括咨询、调研、评估、规划、设计、监理、审计、保险、租赁、印刷、维修、物业管理等。</w:t>
      </w:r>
    </w:p>
    <w:p w14:paraId="3759838A">
      <w:pPr>
        <w:spacing w:line="360" w:lineRule="auto"/>
        <w:ind w:firstLine="435"/>
        <w:rPr>
          <w:rFonts w:ascii="宋体" w:hAnsi="宋体" w:eastAsia="宋体"/>
          <w:sz w:val="24"/>
        </w:rPr>
      </w:pPr>
      <w:r>
        <w:rPr>
          <w:rFonts w:ascii="宋体" w:hAnsi="宋体" w:eastAsia="宋体"/>
          <w:sz w:val="24"/>
        </w:rPr>
        <w:t>2.2时限（年份、月份等）计算：系指从</w:t>
      </w:r>
      <w:r>
        <w:rPr>
          <w:rFonts w:hint="eastAsia" w:ascii="宋体" w:hAnsi="宋体" w:eastAsia="宋体"/>
          <w:sz w:val="24"/>
        </w:rPr>
        <w:t>磋商</w:t>
      </w:r>
      <w:r>
        <w:rPr>
          <w:rFonts w:ascii="宋体" w:hAnsi="宋体" w:eastAsia="宋体"/>
          <w:sz w:val="24"/>
        </w:rPr>
        <w:t>之日向前追溯X年/月（“X”为“一”及以后整数）起算。</w:t>
      </w:r>
    </w:p>
    <w:p w14:paraId="432DD5B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14:paraId="1905C694">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.1采购人：是指依法开展采购活动的国家机关、</w:t>
      </w:r>
      <w:r>
        <w:rPr>
          <w:rFonts w:hint="eastAsia" w:ascii="宋体" w:hAnsi="宋体" w:eastAsia="宋体"/>
          <w:sz w:val="24"/>
          <w:lang w:val="en-US" w:eastAsia="zh-CN"/>
        </w:rPr>
        <w:t>企</w:t>
      </w:r>
      <w:r>
        <w:rPr>
          <w:rFonts w:ascii="宋体" w:hAnsi="宋体" w:eastAsia="宋体"/>
          <w:sz w:val="24"/>
        </w:rPr>
        <w:t>事业单位、团体组织</w:t>
      </w:r>
      <w:r>
        <w:rPr>
          <w:rFonts w:hint="eastAsia" w:ascii="宋体" w:hAnsi="宋体" w:eastAsia="宋体"/>
          <w:sz w:val="24"/>
          <w:lang w:val="en-US" w:eastAsia="zh-CN"/>
        </w:rPr>
        <w:t>等</w:t>
      </w:r>
      <w:r>
        <w:rPr>
          <w:rFonts w:ascii="宋体" w:hAnsi="宋体" w:eastAsia="宋体"/>
          <w:sz w:val="24"/>
        </w:rPr>
        <w:t>。</w:t>
      </w:r>
      <w:r>
        <w:rPr>
          <w:rFonts w:hint="eastAsia" w:ascii="宋体" w:hAnsi="宋体" w:eastAsia="宋体"/>
          <w:sz w:val="24"/>
        </w:rPr>
        <w:t>本项目的采购人见</w:t>
      </w:r>
      <w:r>
        <w:rPr>
          <w:rFonts w:hint="eastAsia" w:ascii="宋体" w:hAnsi="宋体" w:eastAsia="宋体"/>
          <w:sz w:val="24"/>
          <w:u w:val="single"/>
        </w:rPr>
        <w:t>供应商须知前附表</w:t>
      </w:r>
      <w:r>
        <w:rPr>
          <w:rFonts w:hint="eastAsia" w:ascii="宋体" w:hAnsi="宋体" w:eastAsia="宋体"/>
          <w:sz w:val="24"/>
        </w:rPr>
        <w:t>。</w:t>
      </w:r>
    </w:p>
    <w:p w14:paraId="6603154B">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.2采购代理机构：是指从事采购代理业务的社会中介机构。本项目的采购代理机构见</w:t>
      </w:r>
      <w:r>
        <w:rPr>
          <w:rFonts w:hint="eastAsia" w:ascii="宋体" w:hAnsi="宋体" w:eastAsia="宋体"/>
          <w:sz w:val="24"/>
          <w:u w:val="single"/>
        </w:rPr>
        <w:t>供应商须知前附表</w:t>
      </w:r>
      <w:r>
        <w:rPr>
          <w:rFonts w:ascii="宋体" w:hAnsi="宋体" w:eastAsia="宋体"/>
          <w:sz w:val="24"/>
        </w:rPr>
        <w:t>。</w:t>
      </w:r>
    </w:p>
    <w:p w14:paraId="28D2D439">
      <w:pPr>
        <w:spacing w:line="360" w:lineRule="auto"/>
        <w:ind w:firstLine="435"/>
        <w:rPr>
          <w:rFonts w:ascii="宋体" w:hAnsi="宋体" w:eastAsia="宋体"/>
          <w:sz w:val="24"/>
        </w:rPr>
      </w:pPr>
      <w:r>
        <w:rPr>
          <w:rFonts w:ascii="宋体" w:hAnsi="宋体" w:eastAsia="宋体"/>
          <w:sz w:val="24"/>
        </w:rPr>
        <w:t>3.3监督管理部门：</w:t>
      </w:r>
      <w:r>
        <w:rPr>
          <w:rFonts w:hint="eastAsia" w:ascii="宋体" w:hAnsi="宋体" w:eastAsia="宋体"/>
          <w:sz w:val="24"/>
        </w:rPr>
        <w:t>本项目的监督管理部门见</w:t>
      </w:r>
      <w:r>
        <w:rPr>
          <w:rFonts w:hint="eastAsia" w:ascii="宋体" w:hAnsi="宋体" w:eastAsia="宋体"/>
          <w:sz w:val="24"/>
          <w:u w:val="single"/>
        </w:rPr>
        <w:t>供应商须知前附表</w:t>
      </w:r>
      <w:r>
        <w:rPr>
          <w:rFonts w:ascii="宋体" w:hAnsi="宋体" w:eastAsia="宋体"/>
          <w:sz w:val="24"/>
        </w:rPr>
        <w:t>。</w:t>
      </w:r>
    </w:p>
    <w:p w14:paraId="4D91F22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rPr>
        <w:t>供应商</w:t>
      </w:r>
      <w:r>
        <w:rPr>
          <w:rFonts w:ascii="宋体" w:hAnsi="宋体" w:eastAsia="宋体"/>
          <w:sz w:val="24"/>
        </w:rPr>
        <w:t>：是指向采购人提供货物、工程或者服务的法人、非法人组织或者自然人。</w:t>
      </w:r>
      <w:r>
        <w:rPr>
          <w:rFonts w:hint="eastAsia" w:ascii="宋体" w:hAnsi="宋体" w:eastAsia="宋体"/>
          <w:sz w:val="24"/>
        </w:rPr>
        <w:t>分支机构不得参加采购活动，但银行、保险、石油石化、电力、电信等特殊行业除外。</w:t>
      </w:r>
      <w:r>
        <w:rPr>
          <w:rFonts w:ascii="宋体" w:hAnsi="宋体" w:eastAsia="宋体"/>
          <w:sz w:val="24"/>
        </w:rPr>
        <w:t>本项目的</w:t>
      </w:r>
      <w:r>
        <w:rPr>
          <w:rFonts w:hint="eastAsia" w:ascii="宋体" w:hAnsi="宋体" w:eastAsia="宋体"/>
          <w:sz w:val="24"/>
        </w:rPr>
        <w:t>供应商</w:t>
      </w:r>
      <w:r>
        <w:rPr>
          <w:rFonts w:ascii="宋体" w:hAnsi="宋体" w:eastAsia="宋体"/>
          <w:sz w:val="24"/>
        </w:rPr>
        <w:t>须满足以下条件：</w:t>
      </w:r>
    </w:p>
    <w:p w14:paraId="1453B263">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.4.1在中华人民共和国境内注册，能够独立承担民事责任，有生产或供应能力的供应商。</w:t>
      </w:r>
    </w:p>
    <w:p w14:paraId="62AE0182">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.4.</w:t>
      </w:r>
      <w:r>
        <w:rPr>
          <w:rFonts w:hint="eastAsia" w:ascii="宋体" w:hAnsi="宋体" w:eastAsia="宋体"/>
          <w:sz w:val="24"/>
          <w:lang w:val="en-US" w:eastAsia="zh-CN"/>
        </w:rPr>
        <w:t>2</w:t>
      </w:r>
      <w:r>
        <w:rPr>
          <w:rFonts w:ascii="宋体" w:hAnsi="宋体" w:eastAsia="宋体"/>
          <w:sz w:val="24"/>
        </w:rPr>
        <w:t>以采购代理机构认可的方式获得了本项目的</w:t>
      </w:r>
      <w:r>
        <w:rPr>
          <w:rFonts w:hint="eastAsia" w:ascii="宋体" w:hAnsi="宋体" w:eastAsia="宋体"/>
          <w:sz w:val="24"/>
        </w:rPr>
        <w:t>磋商</w:t>
      </w:r>
      <w:r>
        <w:rPr>
          <w:rFonts w:ascii="宋体" w:hAnsi="宋体" w:eastAsia="宋体"/>
          <w:sz w:val="24"/>
        </w:rPr>
        <w:t>文件。</w:t>
      </w:r>
    </w:p>
    <w:p w14:paraId="6C3AE6A5">
      <w:pPr>
        <w:spacing w:line="360" w:lineRule="auto"/>
        <w:ind w:firstLine="435"/>
        <w:rPr>
          <w:rFonts w:ascii="宋体" w:hAnsi="宋体" w:eastAsia="宋体"/>
          <w:sz w:val="24"/>
        </w:rPr>
      </w:pPr>
      <w:r>
        <w:rPr>
          <w:rFonts w:hint="eastAsia" w:ascii="宋体" w:hAnsi="宋体" w:eastAsia="宋体"/>
          <w:bCs/>
          <w:kern w:val="0"/>
          <w:sz w:val="24"/>
          <w:szCs w:val="28"/>
        </w:rPr>
        <w:t>3</w:t>
      </w:r>
      <w:r>
        <w:rPr>
          <w:rFonts w:ascii="宋体" w:hAnsi="宋体" w:eastAsia="宋体"/>
          <w:bCs/>
          <w:kern w:val="0"/>
          <w:sz w:val="24"/>
          <w:szCs w:val="28"/>
        </w:rPr>
        <w:t>.5</w:t>
      </w:r>
      <w:r>
        <w:rPr>
          <w:rFonts w:hint="eastAsia" w:ascii="宋体" w:hAnsi="宋体" w:eastAsia="宋体"/>
          <w:bCs/>
          <w:kern w:val="0"/>
          <w:sz w:val="24"/>
          <w:szCs w:val="28"/>
        </w:rPr>
        <w:t>若竞争性磋商公告</w:t>
      </w:r>
      <w:r>
        <w:rPr>
          <w:rFonts w:ascii="宋体" w:hAnsi="宋体" w:eastAsia="宋体"/>
          <w:bCs/>
          <w:kern w:val="0"/>
          <w:sz w:val="24"/>
          <w:szCs w:val="28"/>
        </w:rPr>
        <w:t>中允许联合体</w:t>
      </w:r>
      <w:r>
        <w:rPr>
          <w:rFonts w:hint="eastAsia" w:ascii="宋体" w:hAnsi="宋体" w:eastAsia="宋体"/>
          <w:bCs/>
          <w:kern w:val="0"/>
          <w:sz w:val="24"/>
          <w:szCs w:val="28"/>
        </w:rPr>
        <w:t>参加磋商</w:t>
      </w:r>
      <w:r>
        <w:rPr>
          <w:rFonts w:ascii="宋体" w:hAnsi="宋体" w:eastAsia="宋体"/>
          <w:bCs/>
          <w:kern w:val="0"/>
          <w:sz w:val="24"/>
          <w:szCs w:val="28"/>
        </w:rPr>
        <w:t>，对联合体规定如下：</w:t>
      </w:r>
    </w:p>
    <w:p w14:paraId="62FACD33">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.1</w:t>
      </w:r>
      <w:r>
        <w:rPr>
          <w:rFonts w:hint="eastAsia" w:ascii="宋体" w:hAnsi="宋体" w:eastAsia="宋体"/>
          <w:sz w:val="24"/>
        </w:rPr>
        <w:t>两个以上供应商可以组成一个磋商联合体，以一个供应商的身份磋商</w:t>
      </w:r>
      <w:r>
        <w:rPr>
          <w:rFonts w:ascii="宋体" w:hAnsi="宋体" w:eastAsia="宋体"/>
          <w:sz w:val="24"/>
        </w:rPr>
        <w:t>。</w:t>
      </w:r>
    </w:p>
    <w:p w14:paraId="1E28C270">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w:t>
      </w:r>
      <w:r>
        <w:rPr>
          <w:rFonts w:hint="eastAsia" w:ascii="宋体" w:hAnsi="宋体" w:eastAsia="宋体"/>
          <w:sz w:val="24"/>
          <w:lang w:val="en-US" w:eastAsia="zh-CN"/>
        </w:rPr>
        <w:t>2</w:t>
      </w:r>
      <w:r>
        <w:rPr>
          <w:rFonts w:ascii="宋体" w:hAnsi="宋体" w:eastAsia="宋体"/>
          <w:sz w:val="24"/>
        </w:rPr>
        <w:t>采购人根据采购项目对</w:t>
      </w:r>
      <w:r>
        <w:rPr>
          <w:rFonts w:hint="eastAsia" w:ascii="宋体" w:hAnsi="宋体" w:eastAsia="宋体"/>
          <w:sz w:val="24"/>
        </w:rPr>
        <w:t>供应商</w:t>
      </w:r>
      <w:r>
        <w:rPr>
          <w:rFonts w:ascii="宋体" w:hAnsi="宋体" w:eastAsia="宋体"/>
          <w:sz w:val="24"/>
        </w:rPr>
        <w:t>的特殊要求，联合体中至少应当有一方符合相关规定。</w:t>
      </w:r>
    </w:p>
    <w:p w14:paraId="0B398D4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w:t>
      </w:r>
      <w:r>
        <w:rPr>
          <w:rFonts w:hint="eastAsia" w:ascii="宋体" w:hAnsi="宋体" w:eastAsia="宋体"/>
          <w:sz w:val="24"/>
          <w:lang w:val="en-US" w:eastAsia="zh-CN"/>
        </w:rPr>
        <w:t>3</w:t>
      </w:r>
      <w:r>
        <w:rPr>
          <w:rFonts w:ascii="宋体" w:hAnsi="宋体" w:eastAsia="宋体"/>
          <w:sz w:val="24"/>
        </w:rPr>
        <w:t>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的</w:t>
      </w:r>
      <w:r>
        <w:rPr>
          <w:rFonts w:ascii="宋体" w:hAnsi="宋体" w:eastAsia="宋体"/>
          <w:sz w:val="24"/>
        </w:rPr>
        <w:t>一部分提交。</w:t>
      </w:r>
    </w:p>
    <w:p w14:paraId="590976AB">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.5.</w:t>
      </w:r>
      <w:r>
        <w:rPr>
          <w:rFonts w:hint="eastAsia" w:ascii="宋体" w:hAnsi="宋体" w:eastAsia="宋体"/>
          <w:sz w:val="24"/>
          <w:lang w:val="en-US" w:eastAsia="zh-CN"/>
        </w:rPr>
        <w:t>4</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7C69821D">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w:t>
      </w:r>
      <w:r>
        <w:rPr>
          <w:rFonts w:hint="eastAsia" w:ascii="宋体" w:hAnsi="宋体" w:eastAsia="宋体"/>
          <w:sz w:val="24"/>
          <w:lang w:val="en-US" w:eastAsia="zh-CN"/>
        </w:rPr>
        <w:t>5</w:t>
      </w:r>
      <w:r>
        <w:rPr>
          <w:rFonts w:ascii="宋体" w:hAnsi="宋体" w:eastAsia="宋体"/>
          <w:sz w:val="24"/>
        </w:rPr>
        <w:t>以联合体形式参加采购活动的，联合体各方不得再单独参加或者与其他供应商另外组成联合体参加本项目</w:t>
      </w:r>
      <w:r>
        <w:rPr>
          <w:rFonts w:hint="eastAsia" w:ascii="宋体" w:hAnsi="宋体" w:eastAsia="宋体"/>
          <w:sz w:val="24"/>
        </w:rPr>
        <w:t>磋商</w:t>
      </w:r>
      <w:r>
        <w:rPr>
          <w:rFonts w:ascii="宋体" w:hAnsi="宋体" w:eastAsia="宋体"/>
          <w:sz w:val="24"/>
        </w:rPr>
        <w:t>，否则相关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4EBD8BE8">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5</w:t>
      </w:r>
      <w:r>
        <w:rPr>
          <w:rFonts w:ascii="宋体" w:hAnsi="宋体" w:eastAsia="宋体"/>
          <w:sz w:val="24"/>
        </w:rPr>
        <w:t>.</w:t>
      </w:r>
      <w:r>
        <w:rPr>
          <w:rFonts w:hint="eastAsia" w:ascii="宋体" w:hAnsi="宋体" w:eastAsia="宋体"/>
          <w:sz w:val="24"/>
          <w:lang w:val="en-US" w:eastAsia="zh-CN"/>
        </w:rPr>
        <w:t>6</w:t>
      </w:r>
      <w:r>
        <w:rPr>
          <w:rFonts w:ascii="宋体" w:hAnsi="宋体" w:eastAsia="宋体"/>
          <w:sz w:val="24"/>
        </w:rPr>
        <w:t>对联合体参加磋商的其他资格要求见</w:t>
      </w:r>
      <w:r>
        <w:rPr>
          <w:rFonts w:hint="eastAsia" w:ascii="宋体" w:hAnsi="宋体" w:eastAsia="宋体"/>
          <w:sz w:val="24"/>
        </w:rPr>
        <w:t>供应商资格</w:t>
      </w:r>
      <w:r>
        <w:rPr>
          <w:rFonts w:ascii="宋体" w:hAnsi="宋体" w:eastAsia="宋体"/>
          <w:sz w:val="24"/>
        </w:rPr>
        <w:t>。</w:t>
      </w:r>
    </w:p>
    <w:p w14:paraId="6B631A84">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6</w:t>
      </w:r>
      <w:r>
        <w:rPr>
          <w:rFonts w:ascii="宋体" w:hAnsi="宋体" w:eastAsia="宋体"/>
          <w:sz w:val="24"/>
        </w:rPr>
        <w:t>单位负责人为同一人或者存在直接控股、管理关系的不同供应商，</w:t>
      </w:r>
      <w:r>
        <w:rPr>
          <w:rFonts w:hint="eastAsia" w:ascii="宋体" w:hAnsi="宋体" w:eastAsia="宋体"/>
          <w:sz w:val="24"/>
        </w:rPr>
        <w:t>不得参加同一合同项下的采购活动。否则</w:t>
      </w:r>
      <w:r>
        <w:rPr>
          <w:rFonts w:ascii="宋体" w:hAnsi="宋体" w:eastAsia="宋体"/>
          <w:sz w:val="24"/>
        </w:rPr>
        <w:t>其相关</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529F2F8F">
      <w:pPr>
        <w:spacing w:line="360" w:lineRule="auto"/>
        <w:ind w:firstLine="435"/>
        <w:rPr>
          <w:rFonts w:ascii="宋体" w:hAnsi="宋体" w:eastAsia="宋体"/>
          <w:sz w:val="24"/>
        </w:rPr>
      </w:pPr>
      <w:r>
        <w:rPr>
          <w:rFonts w:hint="eastAsia" w:ascii="宋体" w:hAnsi="宋体" w:eastAsia="宋体"/>
          <w:sz w:val="24"/>
        </w:rPr>
        <w:t>3</w:t>
      </w:r>
      <w:r>
        <w:rPr>
          <w:rFonts w:ascii="宋体" w:hAnsi="宋体" w:eastAsia="宋体"/>
          <w:sz w:val="24"/>
        </w:rPr>
        <w:t>.</w:t>
      </w:r>
      <w:r>
        <w:rPr>
          <w:rFonts w:hint="eastAsia" w:ascii="宋体" w:hAnsi="宋体" w:eastAsia="宋体"/>
          <w:sz w:val="24"/>
        </w:rPr>
        <w:t>7</w:t>
      </w:r>
      <w:r>
        <w:rPr>
          <w:rFonts w:ascii="宋体" w:hAnsi="宋体" w:eastAsia="宋体"/>
          <w:sz w:val="24"/>
        </w:rPr>
        <w:t>为本项目提供过整体设计、规范编制或者项目管理、监理、检测等服务的供应商，不得再参加本项目上述服务以外的其他采购活动。否则其</w:t>
      </w:r>
      <w:r>
        <w:rPr>
          <w:rFonts w:hint="eastAsia" w:ascii="宋体" w:hAnsi="宋体" w:eastAsia="宋体"/>
          <w:sz w:val="24"/>
        </w:rPr>
        <w:t>响应文件将被认定为</w:t>
      </w:r>
      <w:r>
        <w:rPr>
          <w:rFonts w:hint="eastAsia" w:ascii="宋体" w:hAnsi="宋体" w:eastAsia="宋体"/>
          <w:b/>
          <w:sz w:val="24"/>
        </w:rPr>
        <w:t>响应无效</w:t>
      </w:r>
      <w:r>
        <w:rPr>
          <w:rFonts w:ascii="宋体" w:hAnsi="宋体" w:eastAsia="宋体"/>
          <w:sz w:val="24"/>
        </w:rPr>
        <w:t>。</w:t>
      </w:r>
    </w:p>
    <w:p w14:paraId="0FDFBA5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资金来源</w:t>
      </w:r>
    </w:p>
    <w:p w14:paraId="649257C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4.1本项目的采购人已获得足以支付本次磋商后所签订的合同项下的资金。</w:t>
      </w:r>
    </w:p>
    <w:p w14:paraId="7EEF2B5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4.2项目预算金额</w:t>
      </w:r>
      <w:r>
        <w:rPr>
          <w:rFonts w:hint="eastAsia" w:asciiTheme="minorEastAsia" w:hAnsiTheme="minorEastAsia" w:eastAsiaTheme="minorEastAsia"/>
          <w:sz w:val="24"/>
        </w:rPr>
        <w:t>或</w:t>
      </w:r>
      <w:r>
        <w:rPr>
          <w:rFonts w:asciiTheme="minorEastAsia" w:hAnsiTheme="minorEastAsia" w:eastAsiaTheme="minorEastAsia"/>
          <w:sz w:val="24"/>
        </w:rPr>
        <w:t>分项（或分包）预算金额见磋商邀请。</w:t>
      </w:r>
    </w:p>
    <w:p w14:paraId="37D1776C">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磋商费用</w:t>
      </w:r>
    </w:p>
    <w:p w14:paraId="0B81FC00">
      <w:pPr>
        <w:spacing w:line="360" w:lineRule="auto"/>
        <w:ind w:firstLine="437"/>
        <w:rPr>
          <w:rFonts w:ascii="宋体" w:hAnsi="宋体" w:eastAsia="宋体"/>
          <w:sz w:val="24"/>
        </w:rPr>
      </w:pPr>
      <w:r>
        <w:rPr>
          <w:rFonts w:hint="eastAsia" w:ascii="宋体" w:hAnsi="宋体" w:eastAsia="宋体"/>
          <w:sz w:val="24"/>
        </w:rPr>
        <w:t>不论磋商的结果如何，供应商应承担其所有与准备和参加磋商有关的费用。</w:t>
      </w:r>
    </w:p>
    <w:p w14:paraId="0536F9C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适用准则</w:t>
      </w:r>
    </w:p>
    <w:p w14:paraId="6BBFCAB5">
      <w:pPr>
        <w:spacing w:line="360" w:lineRule="auto"/>
        <w:ind w:firstLine="435"/>
        <w:rPr>
          <w:rFonts w:asciiTheme="minorEastAsia" w:hAnsiTheme="minorEastAsia" w:eastAsiaTheme="minorEastAsia"/>
          <w:sz w:val="24"/>
        </w:rPr>
      </w:pPr>
      <w:r>
        <w:rPr>
          <w:rFonts w:hint="eastAsia" w:ascii="宋体" w:hAnsi="宋体" w:eastAsia="宋体"/>
          <w:sz w:val="24"/>
        </w:rPr>
        <w:t>本项目为自行采购，按采购人</w:t>
      </w:r>
      <w:r>
        <w:rPr>
          <w:rFonts w:hint="eastAsia" w:ascii="宋体" w:hAnsi="宋体" w:eastAsia="宋体"/>
          <w:sz w:val="24"/>
          <w:lang w:val="en-US" w:eastAsia="zh-CN"/>
        </w:rPr>
        <w:t>磋商</w:t>
      </w:r>
      <w:r>
        <w:rPr>
          <w:rFonts w:hint="eastAsia" w:ascii="宋体" w:hAnsi="宋体" w:eastAsia="宋体"/>
          <w:sz w:val="24"/>
        </w:rPr>
        <w:t>采购相关管理规定执行。</w:t>
      </w:r>
    </w:p>
    <w:p w14:paraId="56D7469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磋商文件构成</w:t>
      </w:r>
    </w:p>
    <w:p w14:paraId="189C5A20">
      <w:pPr>
        <w:spacing w:line="360" w:lineRule="auto"/>
        <w:ind w:firstLine="435"/>
        <w:rPr>
          <w:rFonts w:ascii="宋体" w:hAnsi="宋体" w:eastAsia="宋体"/>
          <w:sz w:val="24"/>
        </w:rPr>
      </w:pPr>
      <w:r>
        <w:rPr>
          <w:rFonts w:hint="eastAsia" w:ascii="宋体" w:hAnsi="宋体" w:eastAsia="宋体"/>
          <w:sz w:val="24"/>
        </w:rPr>
        <w:t>7.1磋商文件包括下列内容：</w:t>
      </w:r>
    </w:p>
    <w:p w14:paraId="78F24E5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w:t>
      </w:r>
      <w:r>
        <w:rPr>
          <w:rFonts w:hint="eastAsia" w:asciiTheme="minorEastAsia" w:hAnsiTheme="minorEastAsia" w:eastAsiaTheme="minorEastAsia"/>
          <w:sz w:val="24"/>
        </w:rPr>
        <w:t>磋商邀请</w:t>
      </w:r>
    </w:p>
    <w:p w14:paraId="7A90BC4A">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asciiTheme="minorEastAsia" w:hAnsiTheme="minorEastAsia" w:eastAsiaTheme="minorEastAsia"/>
          <w:sz w:val="24"/>
        </w:rPr>
        <w:t>供应商</w:t>
      </w:r>
      <w:r>
        <w:rPr>
          <w:rFonts w:asciiTheme="minorEastAsia" w:hAnsiTheme="minorEastAsia" w:eastAsiaTheme="minorEastAsia"/>
          <w:sz w:val="24"/>
        </w:rPr>
        <w:t>须知</w:t>
      </w:r>
    </w:p>
    <w:p w14:paraId="4D8B3F72">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2A6AB93F">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12C49C8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采购合同</w:t>
      </w:r>
    </w:p>
    <w:p w14:paraId="0D59481D">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w:t>
      </w:r>
      <w:r>
        <w:rPr>
          <w:rFonts w:asciiTheme="minorEastAsia" w:hAnsiTheme="minorEastAsia" w:eastAsiaTheme="minorEastAsia"/>
          <w:sz w:val="24"/>
        </w:rPr>
        <w:t>文件格式</w:t>
      </w:r>
    </w:p>
    <w:p w14:paraId="77506D1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7.2</w:t>
      </w:r>
      <w:r>
        <w:rPr>
          <w:rFonts w:hint="eastAsia" w:asciiTheme="minorEastAsia" w:hAnsiTheme="minorEastAsia" w:eastAsiaTheme="minorEastAsia"/>
          <w:sz w:val="24"/>
        </w:rPr>
        <w:t>磋商</w:t>
      </w:r>
      <w:r>
        <w:rPr>
          <w:rFonts w:asciiTheme="minorEastAsia" w:hAnsiTheme="minorEastAsia" w:eastAsiaTheme="minorEastAsia"/>
          <w:sz w:val="24"/>
        </w:rPr>
        <w:t>文件中有不一致的，有</w:t>
      </w:r>
      <w:r>
        <w:rPr>
          <w:rFonts w:hint="eastAsia" w:asciiTheme="minorEastAsia" w:hAnsiTheme="minorEastAsia" w:eastAsiaTheme="minorEastAsia"/>
          <w:sz w:val="24"/>
        </w:rPr>
        <w:t>澄清</w:t>
      </w:r>
      <w:r>
        <w:rPr>
          <w:rFonts w:asciiTheme="minorEastAsia" w:hAnsiTheme="minorEastAsia" w:eastAsiaTheme="minorEastAsia"/>
          <w:sz w:val="24"/>
        </w:rPr>
        <w:t>的部分以最终的</w:t>
      </w:r>
      <w:r>
        <w:rPr>
          <w:rFonts w:hint="eastAsia" w:asciiTheme="minorEastAsia" w:hAnsiTheme="minorEastAsia" w:eastAsiaTheme="minorEastAsia"/>
          <w:sz w:val="24"/>
        </w:rPr>
        <w:t>澄清更正</w:t>
      </w:r>
      <w:r>
        <w:rPr>
          <w:rFonts w:asciiTheme="minorEastAsia" w:hAnsiTheme="minorEastAsia" w:eastAsiaTheme="minorEastAsia"/>
          <w:sz w:val="24"/>
        </w:rPr>
        <w:t>内容为准</w:t>
      </w:r>
      <w:r>
        <w:rPr>
          <w:rFonts w:hint="eastAsia" w:asciiTheme="minorEastAsia" w:hAnsiTheme="minorEastAsia" w:eastAsiaTheme="minorEastAsia"/>
          <w:sz w:val="24"/>
        </w:rPr>
        <w:t>。</w:t>
      </w:r>
    </w:p>
    <w:p w14:paraId="0EB7234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7.3现场</w:t>
      </w:r>
      <w:r>
        <w:rPr>
          <w:rFonts w:hint="eastAsia" w:asciiTheme="minorEastAsia" w:hAnsiTheme="minorEastAsia" w:eastAsiaTheme="minorEastAsia"/>
          <w:sz w:val="24"/>
        </w:rPr>
        <w:t>考察</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2541F530">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7.4</w:t>
      </w:r>
      <w:r>
        <w:rPr>
          <w:rFonts w:hint="eastAsia" w:asciiTheme="minorEastAsia" w:hAnsiTheme="minorEastAsia" w:eastAsiaTheme="minorEastAsia"/>
          <w:sz w:val="24"/>
        </w:rPr>
        <w:t>供应商</w:t>
      </w:r>
      <w:r>
        <w:rPr>
          <w:rFonts w:asciiTheme="minorEastAsia" w:hAnsiTheme="minorEastAsia" w:eastAsiaTheme="minorEastAsia"/>
          <w:sz w:val="24"/>
        </w:rPr>
        <w:t>应认真阅读</w:t>
      </w:r>
      <w:r>
        <w:rPr>
          <w:rFonts w:hint="eastAsia" w:asciiTheme="minorEastAsia" w:hAnsiTheme="minorEastAsia" w:eastAsiaTheme="minorEastAsia"/>
          <w:sz w:val="24"/>
        </w:rPr>
        <w:t>磋商</w:t>
      </w:r>
      <w:r>
        <w:rPr>
          <w:rFonts w:asciiTheme="minorEastAsia" w:hAnsiTheme="minorEastAsia" w:eastAsiaTheme="minorEastAsia"/>
          <w:sz w:val="24"/>
        </w:rPr>
        <w:t>文件所有的事项、格式、条款和技术规范等。</w:t>
      </w:r>
    </w:p>
    <w:p w14:paraId="409EA444">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磋商文件的澄清与修改</w:t>
      </w:r>
    </w:p>
    <w:p w14:paraId="5E1A598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1供应商</w:t>
      </w:r>
      <w:r>
        <w:rPr>
          <w:rFonts w:asciiTheme="minorEastAsia" w:hAnsiTheme="minorEastAsia" w:eastAsiaTheme="minorEastAsia"/>
          <w:sz w:val="24"/>
        </w:rPr>
        <w:t>如对</w:t>
      </w:r>
      <w:r>
        <w:rPr>
          <w:rFonts w:hint="eastAsia" w:asciiTheme="minorEastAsia" w:hAnsiTheme="minorEastAsia" w:eastAsiaTheme="minorEastAsia"/>
          <w:sz w:val="24"/>
        </w:rPr>
        <w:t>磋商</w:t>
      </w:r>
      <w:r>
        <w:rPr>
          <w:rFonts w:asciiTheme="minorEastAsia" w:hAnsiTheme="minorEastAsia" w:eastAsiaTheme="minorEastAsia"/>
          <w:sz w:val="24"/>
        </w:rPr>
        <w:t>文件内容有疑问，必须在</w:t>
      </w:r>
      <w:r>
        <w:rPr>
          <w:rFonts w:ascii="宋体" w:hAnsi="宋体" w:eastAsia="宋体"/>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网上询问</w:t>
      </w:r>
      <w:r>
        <w:rPr>
          <w:rFonts w:asciiTheme="minorEastAsia" w:hAnsiTheme="minorEastAsia" w:eastAsiaTheme="minorEastAsia"/>
          <w:sz w:val="24"/>
        </w:rPr>
        <w:t>截止时间前以网上提问形式</w:t>
      </w:r>
      <w:r>
        <w:rPr>
          <w:rFonts w:hint="eastAsia" w:asciiTheme="minorEastAsia" w:hAnsiTheme="minorEastAsia" w:eastAsiaTheme="minorEastAsia"/>
          <w:sz w:val="24"/>
        </w:rPr>
        <w:t>（电子交易系统）</w:t>
      </w:r>
      <w:r>
        <w:rPr>
          <w:rFonts w:asciiTheme="minorEastAsia" w:hAnsiTheme="minorEastAsia" w:eastAsiaTheme="minorEastAsia"/>
          <w:sz w:val="24"/>
        </w:rPr>
        <w:t>提交给采购代理机构。</w:t>
      </w:r>
    </w:p>
    <w:p w14:paraId="501BD16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2采购人可主动或在解答供应商提出的问题时对磋商文件进行澄清或者修改。</w:t>
      </w:r>
      <w:r>
        <w:rPr>
          <w:rFonts w:asciiTheme="minorEastAsia" w:hAnsiTheme="minorEastAsia" w:eastAsiaTheme="minorEastAsia"/>
          <w:sz w:val="24"/>
        </w:rPr>
        <w:t>采购代理机构将</w:t>
      </w:r>
      <w:r>
        <w:rPr>
          <w:rFonts w:hint="eastAsia" w:asciiTheme="minorEastAsia" w:hAnsiTheme="minorEastAsia" w:eastAsiaTheme="minorEastAsia"/>
          <w:sz w:val="24"/>
        </w:rPr>
        <w:t>在</w:t>
      </w:r>
      <w:r>
        <w:rPr>
          <w:rFonts w:hint="eastAsia" w:ascii="宋体" w:hAnsi="宋体" w:eastAsia="宋体"/>
          <w:sz w:val="24"/>
          <w:szCs w:val="18"/>
        </w:rPr>
        <w:t>安徽公共资源交易集团网站</w:t>
      </w:r>
      <w:r>
        <w:rPr>
          <w:rFonts w:hint="eastAsia" w:asciiTheme="minorEastAsia" w:hAnsiTheme="minorEastAsia" w:eastAsiaTheme="minorEastAsia"/>
          <w:sz w:val="24"/>
        </w:rPr>
        <w:t>以发布更正公告的方式澄清或者修改磋商文件，更正公告的</w:t>
      </w:r>
      <w:r>
        <w:rPr>
          <w:rFonts w:asciiTheme="minorEastAsia" w:hAnsiTheme="minorEastAsia" w:eastAsiaTheme="minorEastAsia"/>
          <w:sz w:val="24"/>
        </w:rPr>
        <w:t>内容</w:t>
      </w:r>
      <w:r>
        <w:rPr>
          <w:rFonts w:hint="eastAsia" w:asciiTheme="minorEastAsia" w:hAnsiTheme="minorEastAsia" w:eastAsiaTheme="minorEastAsia"/>
          <w:sz w:val="24"/>
        </w:rPr>
        <w:t>作</w:t>
      </w:r>
      <w:r>
        <w:rPr>
          <w:rFonts w:asciiTheme="minorEastAsia" w:hAnsiTheme="minorEastAsia" w:eastAsiaTheme="minorEastAsia"/>
          <w:sz w:val="24"/>
        </w:rPr>
        <w:t>为</w:t>
      </w:r>
      <w:r>
        <w:rPr>
          <w:rFonts w:hint="eastAsia" w:asciiTheme="minorEastAsia" w:hAnsiTheme="minorEastAsia" w:eastAsiaTheme="minorEastAsia"/>
          <w:sz w:val="24"/>
        </w:rPr>
        <w:t>磋商</w:t>
      </w:r>
      <w:r>
        <w:rPr>
          <w:rFonts w:asciiTheme="minorEastAsia" w:hAnsiTheme="minorEastAsia" w:eastAsiaTheme="minorEastAsia"/>
          <w:sz w:val="24"/>
        </w:rPr>
        <w:t>文件</w:t>
      </w:r>
      <w:r>
        <w:rPr>
          <w:rFonts w:hint="eastAsia" w:asciiTheme="minorEastAsia" w:hAnsiTheme="minorEastAsia" w:eastAsiaTheme="minorEastAsia"/>
          <w:sz w:val="24"/>
        </w:rPr>
        <w:t>的</w:t>
      </w:r>
      <w:r>
        <w:rPr>
          <w:rFonts w:asciiTheme="minorEastAsia" w:hAnsiTheme="minorEastAsia" w:eastAsiaTheme="minorEastAsia"/>
          <w:sz w:val="24"/>
        </w:rPr>
        <w:t>组成部分，对</w:t>
      </w:r>
      <w:r>
        <w:rPr>
          <w:rFonts w:hint="eastAsia" w:asciiTheme="minorEastAsia" w:hAnsiTheme="minorEastAsia" w:eastAsiaTheme="minorEastAsia"/>
          <w:sz w:val="24"/>
        </w:rPr>
        <w:t>供应商</w:t>
      </w:r>
      <w:r>
        <w:rPr>
          <w:rFonts w:asciiTheme="minorEastAsia" w:hAnsiTheme="minorEastAsia" w:eastAsiaTheme="minorEastAsia"/>
          <w:sz w:val="24"/>
        </w:rPr>
        <w:t>起约束作用</w:t>
      </w:r>
      <w:r>
        <w:rPr>
          <w:rFonts w:hint="eastAsia" w:asciiTheme="minorEastAsia" w:hAnsiTheme="minorEastAsia" w:eastAsiaTheme="minorEastAsia"/>
          <w:sz w:val="24"/>
        </w:rPr>
        <w:t>。供应商应主动上网查询。采购代理机构不承担供应商未及时关注相关信息引发的相关责任。</w:t>
      </w:r>
    </w:p>
    <w:p w14:paraId="20A39347">
      <w:pPr>
        <w:spacing w:line="360" w:lineRule="auto"/>
        <w:ind w:firstLine="435"/>
        <w:rPr>
          <w:rFonts w:ascii="宋体" w:hAnsi="宋体" w:eastAsia="宋体"/>
          <w:sz w:val="24"/>
        </w:rPr>
      </w:pPr>
      <w:r>
        <w:rPr>
          <w:rFonts w:ascii="宋体" w:hAnsi="宋体" w:eastAsia="宋体"/>
          <w:sz w:val="24"/>
        </w:rPr>
        <w:t>8</w:t>
      </w:r>
      <w:r>
        <w:rPr>
          <w:rFonts w:hint="eastAsia" w:ascii="宋体" w:hAnsi="宋体" w:eastAsia="宋体"/>
          <w:sz w:val="24"/>
        </w:rPr>
        <w:t>.3任何人或任何组织向供应商提供的任何书面或口头资料，未经采购代理机构在网上发布或书面通知，均作无效处理，不得作为磋商文件的组成部分。采购代理机构对供应商由此而做出的推论、理解和结论概不负责。</w:t>
      </w:r>
    </w:p>
    <w:p w14:paraId="618D607B">
      <w:pPr>
        <w:spacing w:line="360" w:lineRule="auto"/>
        <w:ind w:firstLine="435"/>
        <w:rPr>
          <w:rFonts w:asciiTheme="minorEastAsia" w:hAnsiTheme="minorEastAsia" w:eastAsiaTheme="minorEastAsia"/>
          <w:iCs/>
          <w:sz w:val="24"/>
        </w:rPr>
      </w:pPr>
      <w:r>
        <w:rPr>
          <w:rFonts w:hint="eastAsia" w:asciiTheme="minorEastAsia" w:hAnsiTheme="minorEastAsia" w:eastAsiaTheme="minorEastAsia"/>
          <w:sz w:val="24"/>
        </w:rPr>
        <w:t>8</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询问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rPr>
        <w:t>磋商</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本磋商</w:t>
      </w:r>
      <w:r>
        <w:rPr>
          <w:rFonts w:asciiTheme="minorEastAsia" w:hAnsiTheme="minorEastAsia" w:eastAsiaTheme="minorEastAsia"/>
          <w:sz w:val="24"/>
        </w:rPr>
        <w:t>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
          <w:sz w:val="24"/>
        </w:rPr>
        <w:t>。</w:t>
      </w:r>
    </w:p>
    <w:p w14:paraId="10D969B2">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磋商范围及响应文件中标准和计量单位的使用</w:t>
      </w:r>
    </w:p>
    <w:p w14:paraId="21B11A0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9.1项目有分包的，供应商可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的磋商</w:t>
      </w:r>
      <w:r>
        <w:rPr>
          <w:rFonts w:asciiTheme="minorEastAsia" w:hAnsiTheme="minorEastAsia" w:eastAsiaTheme="minorEastAsia"/>
          <w:sz w:val="24"/>
        </w:rPr>
        <w:t>，</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14:paraId="10DC5A04">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2</w:t>
      </w:r>
      <w:r>
        <w:rPr>
          <w:rFonts w:asciiTheme="minorEastAsia" w:hAnsiTheme="minorEastAsia" w:eastAsiaTheme="minorEastAsia"/>
          <w:sz w:val="24"/>
        </w:rPr>
        <w:t>无论磋商文件中是否要求，供应商所投服务及伴随的货物和工程均应符合国家强制性标准。</w:t>
      </w:r>
    </w:p>
    <w:p w14:paraId="418B7A0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3</w:t>
      </w:r>
      <w:r>
        <w:rPr>
          <w:rFonts w:asciiTheme="minorEastAsia" w:hAnsiTheme="minorEastAsia" w:eastAsiaTheme="minorEastAsia"/>
          <w:sz w:val="24"/>
        </w:rPr>
        <w:t>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3D6D2D3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9.</w:t>
      </w:r>
      <w:r>
        <w:rPr>
          <w:rFonts w:hint="eastAsia" w:asciiTheme="minorEastAsia" w:hAnsiTheme="minorEastAsia" w:eastAsiaTheme="minorEastAsia"/>
          <w:sz w:val="24"/>
        </w:rPr>
        <w:t>4</w:t>
      </w:r>
      <w:r>
        <w:rPr>
          <w:rFonts w:asciiTheme="minorEastAsia" w:hAnsiTheme="minorEastAsia" w:eastAsiaTheme="minorEastAsia"/>
          <w:sz w:val="24"/>
        </w:rPr>
        <w:t>除磋商文件中有特殊要求外，响应文件中所使用的计量单位，应采用中华人民共和国法定计量单位。</w:t>
      </w:r>
    </w:p>
    <w:p w14:paraId="34218B7A">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0.</w:t>
      </w:r>
      <w:r>
        <w:rPr>
          <w:rFonts w:hint="eastAsia" w:asciiTheme="minorEastAsia" w:hAnsiTheme="minorEastAsia" w:eastAsiaTheme="minorEastAsia"/>
          <w:b/>
          <w:sz w:val="24"/>
        </w:rPr>
        <w:t>响应文件构成</w:t>
      </w:r>
    </w:p>
    <w:p w14:paraId="1AA549AF">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10.1供应商应完整地按磋商文件提供的响应文件格式及要求编写响应文件，具体内容详见第六章响应文件格式的相关内容。</w:t>
      </w:r>
    </w:p>
    <w:p w14:paraId="0DB6BA33">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10.2上述文件应按照磋商文件规定的格式填写、签署和盖章。</w:t>
      </w:r>
    </w:p>
    <w:p w14:paraId="4B4BEC85">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1.</w:t>
      </w:r>
      <w:r>
        <w:rPr>
          <w:rFonts w:hint="eastAsia" w:asciiTheme="minorEastAsia" w:hAnsiTheme="minorEastAsia" w:eastAsiaTheme="minorEastAsia"/>
          <w:b/>
          <w:sz w:val="24"/>
        </w:rPr>
        <w:t>证明标的的合格性和符合磋商文件规定的响应文件</w:t>
      </w:r>
    </w:p>
    <w:p w14:paraId="6856966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.1</w:t>
      </w:r>
      <w:r>
        <w:rPr>
          <w:rFonts w:hint="eastAsia" w:ascii="宋体" w:hAnsi="宋体" w:eastAsia="宋体"/>
          <w:sz w:val="24"/>
        </w:rPr>
        <w:t>供应商应提交磋商文件要求的证明文件，证明其响应内容符合磋商文件规定。该证明文件是响应文件的一部分</w:t>
      </w:r>
      <w:r>
        <w:rPr>
          <w:rFonts w:asciiTheme="minorEastAsia" w:hAnsiTheme="minorEastAsia" w:eastAsiaTheme="minorEastAsia"/>
          <w:sz w:val="24"/>
        </w:rPr>
        <w:t>。</w:t>
      </w:r>
    </w:p>
    <w:p w14:paraId="69CB8D6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.2上款所述的证明文件，可以是文字资料、图纸和数据</w:t>
      </w:r>
      <w:bookmarkStart w:id="12" w:name="_Hlk11703583"/>
      <w:r>
        <w:rPr>
          <w:rFonts w:hint="eastAsia" w:asciiTheme="minorEastAsia" w:hAnsiTheme="minorEastAsia" w:eastAsiaTheme="minorEastAsia"/>
          <w:sz w:val="24"/>
        </w:rPr>
        <w:t>。</w:t>
      </w:r>
    </w:p>
    <w:bookmarkEnd w:id="12"/>
    <w:p w14:paraId="13976CF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1.3</w:t>
      </w:r>
      <w:r>
        <w:rPr>
          <w:rFonts w:hint="eastAsia" w:asciiTheme="minorEastAsia" w:hAnsiTheme="minorEastAsia" w:eastAsiaTheme="minorEastAsia"/>
          <w:sz w:val="24"/>
        </w:rPr>
        <w:t>本条所指证明文件不包括对磋商文件相关部分的文字、图标的复制。</w:t>
      </w:r>
    </w:p>
    <w:p w14:paraId="1D8B9CAC">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1</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为保证</w:t>
      </w:r>
      <w:r>
        <w:rPr>
          <w:rFonts w:ascii="宋体" w:hAnsi="宋体" w:eastAsia="宋体"/>
          <w:sz w:val="24"/>
        </w:rPr>
        <w:t>公平</w:t>
      </w:r>
      <w:r>
        <w:rPr>
          <w:rFonts w:asciiTheme="minorEastAsia" w:hAnsiTheme="minorEastAsia" w:eastAsiaTheme="minorEastAsia"/>
          <w:sz w:val="24"/>
        </w:rPr>
        <w:t>公正，除非另有规定或说明，</w:t>
      </w:r>
      <w:r>
        <w:rPr>
          <w:rFonts w:hint="eastAsia" w:asciiTheme="minorEastAsia" w:hAnsiTheme="minorEastAsia" w:eastAsiaTheme="minorEastAsia"/>
          <w:sz w:val="24"/>
        </w:rPr>
        <w:t>供应商</w:t>
      </w:r>
      <w:r>
        <w:rPr>
          <w:rFonts w:asciiTheme="minorEastAsia" w:hAnsiTheme="minorEastAsia" w:eastAsiaTheme="minorEastAsia"/>
          <w:sz w:val="24"/>
        </w:rPr>
        <w:t>对同一项目</w:t>
      </w:r>
      <w:r>
        <w:rPr>
          <w:rFonts w:hint="eastAsia" w:asciiTheme="minorEastAsia" w:hAnsiTheme="minorEastAsia" w:eastAsiaTheme="minorEastAsia"/>
          <w:sz w:val="24"/>
        </w:rPr>
        <w:t>磋商</w:t>
      </w:r>
      <w:r>
        <w:rPr>
          <w:rFonts w:asciiTheme="minorEastAsia" w:hAnsiTheme="minorEastAsia" w:eastAsiaTheme="minorEastAsia"/>
          <w:sz w:val="24"/>
        </w:rPr>
        <w:t>时，不得同时提供</w:t>
      </w:r>
      <w:r>
        <w:rPr>
          <w:rFonts w:hint="eastAsia" w:asciiTheme="minorEastAsia" w:hAnsiTheme="minorEastAsia" w:eastAsiaTheme="minorEastAsia"/>
          <w:sz w:val="24"/>
        </w:rPr>
        <w:t>备选磋商</w:t>
      </w:r>
      <w:r>
        <w:rPr>
          <w:rFonts w:asciiTheme="minorEastAsia" w:hAnsiTheme="minorEastAsia" w:eastAsiaTheme="minorEastAsia"/>
          <w:sz w:val="24"/>
        </w:rPr>
        <w:t>方案。</w:t>
      </w:r>
    </w:p>
    <w:p w14:paraId="39709E3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2.</w:t>
      </w:r>
      <w:r>
        <w:rPr>
          <w:rFonts w:hint="eastAsia" w:asciiTheme="minorEastAsia" w:hAnsiTheme="minorEastAsia" w:eastAsiaTheme="minorEastAsia"/>
          <w:b/>
          <w:sz w:val="24"/>
        </w:rPr>
        <w:t>报价</w:t>
      </w:r>
    </w:p>
    <w:p w14:paraId="4DEE4B3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磋商</w:t>
      </w:r>
      <w:r>
        <w:rPr>
          <w:rFonts w:asciiTheme="minorEastAsia" w:hAnsiTheme="minorEastAsia" w:eastAsiaTheme="minorEastAsia"/>
          <w:sz w:val="24"/>
        </w:rPr>
        <w:t>全部采购需求所应提供的服务</w:t>
      </w:r>
      <w:r>
        <w:rPr>
          <w:rFonts w:hint="eastAsia" w:asciiTheme="minorEastAsia" w:hAnsiTheme="minorEastAsia" w:eastAsiaTheme="minorEastAsia"/>
          <w:sz w:val="24"/>
        </w:rPr>
        <w:t>，</w:t>
      </w:r>
      <w:r>
        <w:rPr>
          <w:rFonts w:asciiTheme="minorEastAsia" w:hAnsiTheme="minorEastAsia" w:eastAsiaTheme="minorEastAsia"/>
          <w:sz w:val="24"/>
        </w:rPr>
        <w:t>以及伴随的货物和工程</w:t>
      </w:r>
      <w:r>
        <w:rPr>
          <w:rFonts w:hint="eastAsia" w:asciiTheme="minorEastAsia" w:hAnsiTheme="minorEastAsia" w:eastAsiaTheme="minorEastAsia"/>
          <w:sz w:val="24"/>
        </w:rPr>
        <w:t>。所有内容均应以人民币报价，供应商的磋商报价应遵守《中华人民共和国价格法》。</w:t>
      </w:r>
    </w:p>
    <w:p w14:paraId="45705F5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2供应商应在分项报价表上标明分项服务、伴随的货物和工程的价格（如适用）和总价，未标明的视同包含在磋商报价中。</w:t>
      </w:r>
    </w:p>
    <w:p w14:paraId="11A60C62">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3</w:t>
      </w:r>
      <w:r>
        <w:rPr>
          <w:rFonts w:asciiTheme="minorEastAsia" w:hAnsiTheme="minorEastAsia" w:eastAsiaTheme="minorEastAsia"/>
          <w:sz w:val="24"/>
        </w:rPr>
        <w:t>除非磋商文件另有规定或经采购人同意支付的，最后报价均不得高于磋商文件（公告）列明的项目预算，否则其响应文件将被认定为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3549143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12.</w:t>
      </w:r>
      <w:r>
        <w:rPr>
          <w:rFonts w:hint="eastAsia" w:asciiTheme="minorEastAsia" w:hAnsiTheme="minorEastAsia" w:eastAsiaTheme="minorEastAsia"/>
          <w:sz w:val="24"/>
        </w:rPr>
        <w:t>4报价</w:t>
      </w:r>
      <w:r>
        <w:rPr>
          <w:rFonts w:asciiTheme="minorEastAsia" w:hAnsiTheme="minorEastAsia" w:eastAsiaTheme="minorEastAsia"/>
          <w:sz w:val="24"/>
        </w:rPr>
        <w:t>在合同履行过程中是固定不变的，不得以任何理由予以变更。任何包含价格调整要求的</w:t>
      </w:r>
      <w:r>
        <w:rPr>
          <w:rFonts w:hint="eastAsia" w:asciiTheme="minorEastAsia" w:hAnsiTheme="minorEastAsia" w:eastAsiaTheme="minorEastAsia"/>
          <w:sz w:val="24"/>
        </w:rPr>
        <w:t>磋商</w:t>
      </w:r>
      <w:r>
        <w:rPr>
          <w:rFonts w:asciiTheme="minorEastAsia" w:hAnsiTheme="minorEastAsia" w:eastAsiaTheme="minorEastAsia"/>
          <w:sz w:val="24"/>
        </w:rPr>
        <w:t>，其</w:t>
      </w:r>
      <w:r>
        <w:rPr>
          <w:rFonts w:hint="eastAsia" w:asciiTheme="minorEastAsia" w:hAnsiTheme="minorEastAsia" w:eastAsiaTheme="minorEastAsia"/>
          <w:sz w:val="24"/>
        </w:rPr>
        <w:t>响应文件将被认定为</w:t>
      </w:r>
      <w:r>
        <w:rPr>
          <w:rFonts w:hint="eastAsia" w:asciiTheme="minorEastAsia" w:hAnsiTheme="minorEastAsia" w:eastAsiaTheme="minorEastAsia"/>
          <w:b/>
          <w:sz w:val="24"/>
        </w:rPr>
        <w:t>响应无效</w:t>
      </w:r>
      <w:r>
        <w:rPr>
          <w:rFonts w:asciiTheme="minorEastAsia" w:hAnsiTheme="minorEastAsia" w:eastAsiaTheme="minorEastAsia"/>
          <w:sz w:val="24"/>
        </w:rPr>
        <w:t>。</w:t>
      </w:r>
    </w:p>
    <w:p w14:paraId="455BA378">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0009549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3.</w:t>
      </w:r>
      <w:r>
        <w:rPr>
          <w:rFonts w:hint="eastAsia" w:asciiTheme="minorEastAsia" w:hAnsiTheme="minorEastAsia" w:eastAsiaTheme="minorEastAsia"/>
          <w:b/>
          <w:sz w:val="24"/>
        </w:rPr>
        <w:t>磋商保证金</w:t>
      </w:r>
    </w:p>
    <w:p w14:paraId="3A3B565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w:t>
      </w:r>
      <w:r>
        <w:rPr>
          <w:rFonts w:hint="eastAsia" w:asciiTheme="minorEastAsia" w:hAnsiTheme="minorEastAsia" w:eastAsiaTheme="minorEastAsia"/>
          <w:sz w:val="24"/>
        </w:rPr>
        <w:t>3</w:t>
      </w:r>
      <w:r>
        <w:rPr>
          <w:rFonts w:asciiTheme="minorEastAsia" w:hAnsiTheme="minorEastAsia" w:eastAsiaTheme="minorEastAsia"/>
          <w:sz w:val="24"/>
        </w:rPr>
        <w:t>.1</w:t>
      </w:r>
      <w:r>
        <w:rPr>
          <w:rFonts w:ascii="宋体" w:hAnsi="宋体" w:eastAsia="宋体"/>
          <w:sz w:val="24"/>
        </w:rPr>
        <w:t>投标人</w:t>
      </w:r>
      <w:r>
        <w:rPr>
          <w:rFonts w:asciiTheme="minorEastAsia" w:hAnsiTheme="minorEastAsia" w:eastAsiaTheme="minorEastAsia"/>
          <w:sz w:val="24"/>
        </w:rPr>
        <w:t>应提交</w:t>
      </w:r>
      <w:r>
        <w:rPr>
          <w:rFonts w:asciiTheme="minorEastAsia" w:hAnsiTheme="minorEastAsia" w:eastAsiaTheme="minorEastAsia"/>
          <w:sz w:val="24"/>
          <w:u w:val="single"/>
        </w:rPr>
        <w:t>投标人须知前附表</w:t>
      </w:r>
      <w:r>
        <w:rPr>
          <w:rFonts w:asciiTheme="minorEastAsia" w:hAnsiTheme="minorEastAsia" w:eastAsiaTheme="minorEastAsia"/>
          <w:sz w:val="24"/>
        </w:rPr>
        <w:t>中规定的投标保证金，并作为其投标的一部分。投标人未按本</w:t>
      </w:r>
      <w:r>
        <w:rPr>
          <w:rFonts w:hint="eastAsia" w:asciiTheme="minorEastAsia" w:hAnsiTheme="minorEastAsia" w:eastAsiaTheme="minorEastAsia"/>
          <w:sz w:val="24"/>
        </w:rPr>
        <w:t>招标文件</w:t>
      </w:r>
      <w:r>
        <w:rPr>
          <w:rFonts w:asciiTheme="minorEastAsia" w:hAnsiTheme="minorEastAsia" w:eastAsiaTheme="minorEastAsia"/>
          <w:sz w:val="24"/>
        </w:rPr>
        <w:t>规定提交投标保证金的，其投标将被认定为</w:t>
      </w:r>
      <w:r>
        <w:rPr>
          <w:rFonts w:asciiTheme="minorEastAsia" w:hAnsiTheme="minorEastAsia" w:eastAsiaTheme="minorEastAsia"/>
          <w:b/>
          <w:sz w:val="24"/>
        </w:rPr>
        <w:t>投标无效</w:t>
      </w:r>
      <w:r>
        <w:rPr>
          <w:rFonts w:asciiTheme="minorEastAsia" w:hAnsiTheme="minorEastAsia" w:eastAsiaTheme="minorEastAsia"/>
          <w:sz w:val="24"/>
        </w:rPr>
        <w:t>。</w:t>
      </w:r>
    </w:p>
    <w:p w14:paraId="47F0AC24">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3.2</w:t>
      </w:r>
      <w:r>
        <w:rPr>
          <w:rFonts w:hint="eastAsia" w:asciiTheme="minorEastAsia" w:hAnsiTheme="minorEastAsia" w:eastAsiaTheme="minorEastAsia"/>
          <w:sz w:val="24"/>
        </w:rPr>
        <w:t>投标人请注意：</w:t>
      </w:r>
    </w:p>
    <w:p w14:paraId="686F7A9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（1）除非</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rPr>
        <w:t>文件另有规定，</w:t>
      </w:r>
      <w:r>
        <w:rPr>
          <w:rFonts w:hint="eastAsia" w:asciiTheme="minorEastAsia" w:hAnsiTheme="minorEastAsia" w:eastAsiaTheme="minorEastAsia"/>
          <w:sz w:val="24"/>
          <w:lang w:val="en-US" w:eastAsia="zh-CN"/>
        </w:rPr>
        <w:t>磋商</w:t>
      </w:r>
      <w:r>
        <w:rPr>
          <w:rFonts w:hint="eastAsia" w:asciiTheme="minorEastAsia" w:hAnsiTheme="minorEastAsia" w:eastAsiaTheme="minorEastAsia"/>
          <w:sz w:val="24"/>
        </w:rPr>
        <w:t>保证金缴纳人名称与</w:t>
      </w:r>
      <w:r>
        <w:rPr>
          <w:rFonts w:hint="eastAsia" w:asciiTheme="minorEastAsia" w:hAnsiTheme="minorEastAsia" w:eastAsiaTheme="minorEastAsia"/>
          <w:sz w:val="24"/>
          <w:lang w:val="en-US" w:eastAsia="zh-CN"/>
        </w:rPr>
        <w:t>供应商</w:t>
      </w:r>
      <w:r>
        <w:rPr>
          <w:rFonts w:hint="eastAsia" w:asciiTheme="minorEastAsia" w:hAnsiTheme="minorEastAsia" w:eastAsiaTheme="minorEastAsia"/>
          <w:sz w:val="24"/>
        </w:rPr>
        <w:t>名称应当一致，否则其</w:t>
      </w:r>
      <w:r>
        <w:rPr>
          <w:rFonts w:hint="eastAsia" w:asciiTheme="minorEastAsia" w:hAnsiTheme="minorEastAsia" w:eastAsiaTheme="minorEastAsia"/>
          <w:sz w:val="24"/>
          <w:lang w:val="en-US" w:eastAsia="zh-CN"/>
        </w:rPr>
        <w:t>响应</w:t>
      </w:r>
      <w:r>
        <w:rPr>
          <w:rFonts w:hint="eastAsia" w:asciiTheme="minorEastAsia" w:hAnsiTheme="minorEastAsia" w:eastAsiaTheme="minorEastAsia"/>
          <w:sz w:val="24"/>
        </w:rPr>
        <w:t>将被认定为</w:t>
      </w:r>
      <w:r>
        <w:rPr>
          <w:rFonts w:hint="eastAsia" w:asciiTheme="minorEastAsia" w:hAnsiTheme="minorEastAsia" w:eastAsiaTheme="minorEastAsia"/>
          <w:b/>
          <w:sz w:val="24"/>
          <w:lang w:val="en-US" w:eastAsia="zh-CN"/>
        </w:rPr>
        <w:t>响应</w:t>
      </w:r>
      <w:r>
        <w:rPr>
          <w:rFonts w:hint="eastAsia" w:asciiTheme="minorEastAsia" w:hAnsiTheme="minorEastAsia" w:eastAsiaTheme="minorEastAsia"/>
          <w:b/>
          <w:sz w:val="24"/>
        </w:rPr>
        <w:t>无效。</w:t>
      </w:r>
    </w:p>
    <w:p w14:paraId="5F7DAB0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）前次采购失败的，采购代理机构将退还</w:t>
      </w:r>
      <w:r>
        <w:rPr>
          <w:rFonts w:hint="eastAsia" w:asciiTheme="minorEastAsia" w:hAnsiTheme="minorEastAsia" w:eastAsiaTheme="minorEastAsia"/>
          <w:sz w:val="24"/>
          <w:lang w:val="en-US" w:eastAsia="zh-CN"/>
        </w:rPr>
        <w:t>供应商</w:t>
      </w:r>
      <w:r>
        <w:rPr>
          <w:rFonts w:asciiTheme="minorEastAsia" w:hAnsiTheme="minorEastAsia" w:eastAsiaTheme="minorEastAsia"/>
          <w:sz w:val="24"/>
        </w:rPr>
        <w:t>的</w:t>
      </w:r>
      <w:r>
        <w:rPr>
          <w:rFonts w:hint="eastAsia" w:asciiTheme="minorEastAsia" w:hAnsiTheme="minorEastAsia" w:eastAsiaTheme="minorEastAsia"/>
          <w:sz w:val="24"/>
          <w:lang w:val="en-US" w:eastAsia="zh-CN"/>
        </w:rPr>
        <w:t>磋商</w:t>
      </w:r>
      <w:r>
        <w:rPr>
          <w:rFonts w:asciiTheme="minorEastAsia" w:hAnsiTheme="minorEastAsia" w:eastAsiaTheme="minorEastAsia"/>
          <w:sz w:val="24"/>
        </w:rPr>
        <w:t>保证金。</w:t>
      </w:r>
    </w:p>
    <w:p w14:paraId="59645DD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）采购代理机构</w:t>
      </w:r>
      <w:r>
        <w:rPr>
          <w:rFonts w:hint="eastAsia" w:asciiTheme="minorEastAsia" w:hAnsiTheme="minorEastAsia" w:eastAsiaTheme="minorEastAsia"/>
          <w:sz w:val="24"/>
          <w:lang w:val="en-US" w:eastAsia="zh-CN"/>
        </w:rPr>
        <w:t>磋商</w:t>
      </w:r>
      <w:r>
        <w:rPr>
          <w:rFonts w:asciiTheme="minorEastAsia" w:hAnsiTheme="minorEastAsia" w:eastAsiaTheme="minorEastAsia"/>
          <w:sz w:val="24"/>
        </w:rPr>
        <w:t>保证金缴纳账号采用动态虚拟账号（分包项目每一个包别对应一个账号），项目采购失败后，</w:t>
      </w:r>
      <w:r>
        <w:rPr>
          <w:rFonts w:hint="eastAsia" w:asciiTheme="minorEastAsia" w:hAnsiTheme="minorEastAsia" w:eastAsiaTheme="minorEastAsia"/>
          <w:sz w:val="24"/>
          <w:lang w:val="en-US" w:eastAsia="zh-CN"/>
        </w:rPr>
        <w:t>磋商</w:t>
      </w:r>
      <w:r>
        <w:rPr>
          <w:rFonts w:asciiTheme="minorEastAsia" w:hAnsiTheme="minorEastAsia" w:eastAsiaTheme="minorEastAsia"/>
          <w:sz w:val="24"/>
        </w:rPr>
        <w:t>保证金缴纳账号将会发生变化，请</w:t>
      </w:r>
      <w:r>
        <w:rPr>
          <w:rFonts w:hint="eastAsia" w:asciiTheme="minorEastAsia" w:hAnsiTheme="minorEastAsia" w:eastAsiaTheme="minorEastAsia"/>
          <w:sz w:val="24"/>
          <w:lang w:val="en-US" w:eastAsia="zh-CN"/>
        </w:rPr>
        <w:t>供应商</w:t>
      </w:r>
      <w:r>
        <w:rPr>
          <w:rFonts w:asciiTheme="minorEastAsia" w:hAnsiTheme="minorEastAsia" w:eastAsiaTheme="minorEastAsia"/>
          <w:sz w:val="24"/>
        </w:rPr>
        <w:t>参与后续采购时，注意勿将</w:t>
      </w:r>
      <w:r>
        <w:rPr>
          <w:rFonts w:hint="eastAsia" w:asciiTheme="minorEastAsia" w:hAnsiTheme="minorEastAsia" w:eastAsiaTheme="minorEastAsia"/>
          <w:sz w:val="24"/>
          <w:lang w:val="en-US" w:eastAsia="zh-CN"/>
        </w:rPr>
        <w:t>磋商</w:t>
      </w:r>
      <w:r>
        <w:rPr>
          <w:rFonts w:asciiTheme="minorEastAsia" w:hAnsiTheme="minorEastAsia" w:eastAsiaTheme="minorEastAsia"/>
          <w:sz w:val="24"/>
        </w:rPr>
        <w:t>保证金错交至其他项目虚拟账号或前次公告账号。</w:t>
      </w:r>
    </w:p>
    <w:p w14:paraId="665A76B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）凡转账到其他项目虚拟账号或本项目前次公告账号的，</w:t>
      </w:r>
      <w:r>
        <w:rPr>
          <w:rFonts w:hint="eastAsia" w:asciiTheme="minorEastAsia" w:hAnsiTheme="minorEastAsia" w:eastAsiaTheme="minorEastAsia"/>
          <w:sz w:val="24"/>
          <w:lang w:val="en-US" w:eastAsia="zh-CN"/>
        </w:rPr>
        <w:t>磋商</w:t>
      </w:r>
      <w:r>
        <w:rPr>
          <w:rFonts w:asciiTheme="minorEastAsia" w:hAnsiTheme="minorEastAsia" w:eastAsiaTheme="minorEastAsia"/>
          <w:sz w:val="24"/>
        </w:rPr>
        <w:t>保证金无效。</w:t>
      </w:r>
    </w:p>
    <w:p w14:paraId="2CC6A3C8">
      <w:pPr>
        <w:spacing w:line="360" w:lineRule="auto"/>
        <w:ind w:firstLine="435"/>
        <w:rPr>
          <w:rFonts w:ascii="宋体" w:hAnsi="宋体" w:eastAsia="宋体" w:cs="宋体"/>
          <w:sz w:val="24"/>
        </w:rPr>
      </w:pPr>
      <w:r>
        <w:rPr>
          <w:rFonts w:hint="eastAsia" w:ascii="宋体" w:hAnsi="宋体" w:eastAsia="宋体" w:cs="宋体"/>
          <w:sz w:val="24"/>
        </w:rPr>
        <w:t>13.3有下列情形之一的，</w:t>
      </w:r>
      <w:r>
        <w:rPr>
          <w:rFonts w:hint="eastAsia" w:ascii="宋体" w:hAnsi="宋体" w:eastAsia="宋体" w:cs="宋体"/>
          <w:sz w:val="24"/>
          <w:lang w:val="en-US" w:eastAsia="zh-CN"/>
        </w:rPr>
        <w:t>磋商</w:t>
      </w:r>
      <w:r>
        <w:rPr>
          <w:rFonts w:hint="eastAsia" w:ascii="宋体" w:hAnsi="宋体" w:eastAsia="宋体" w:cs="宋体"/>
          <w:sz w:val="24"/>
        </w:rPr>
        <w:t>保证金不予退还：</w:t>
      </w:r>
    </w:p>
    <w:p w14:paraId="6E7912F4">
      <w:pPr>
        <w:spacing w:line="360" w:lineRule="auto"/>
        <w:ind w:firstLine="435"/>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供应商</w:t>
      </w:r>
      <w:r>
        <w:rPr>
          <w:rFonts w:hint="eastAsia" w:ascii="宋体" w:hAnsi="宋体" w:eastAsia="宋体" w:cs="宋体"/>
          <w:sz w:val="24"/>
        </w:rPr>
        <w:t>在</w:t>
      </w:r>
      <w:r>
        <w:rPr>
          <w:rFonts w:hint="eastAsia" w:ascii="宋体" w:hAnsi="宋体" w:eastAsia="宋体" w:cs="宋体"/>
          <w:sz w:val="24"/>
          <w:lang w:val="en-US" w:eastAsia="zh-CN"/>
        </w:rPr>
        <w:t>磋商</w:t>
      </w:r>
      <w:r>
        <w:rPr>
          <w:rFonts w:hint="eastAsia" w:ascii="宋体" w:hAnsi="宋体" w:eastAsia="宋体" w:cs="宋体"/>
          <w:sz w:val="24"/>
        </w:rPr>
        <w:t>有效期内撤销</w:t>
      </w:r>
      <w:r>
        <w:rPr>
          <w:rFonts w:hint="eastAsia" w:ascii="宋体" w:hAnsi="宋体" w:eastAsia="宋体" w:cs="宋体"/>
          <w:sz w:val="24"/>
          <w:lang w:val="en-US" w:eastAsia="zh-CN"/>
        </w:rPr>
        <w:t>响应</w:t>
      </w:r>
      <w:r>
        <w:rPr>
          <w:rFonts w:hint="eastAsia" w:ascii="宋体" w:hAnsi="宋体" w:eastAsia="宋体" w:cs="宋体"/>
          <w:sz w:val="24"/>
        </w:rPr>
        <w:t>文件的；</w:t>
      </w:r>
    </w:p>
    <w:p w14:paraId="4D730E75">
      <w:pPr>
        <w:spacing w:line="360" w:lineRule="auto"/>
        <w:ind w:firstLine="435"/>
        <w:rPr>
          <w:rFonts w:hint="eastAsia" w:ascii="宋体" w:hAnsi="宋体" w:eastAsia="宋体" w:cs="宋体"/>
          <w:sz w:val="24"/>
          <w:lang w:val="en-US" w:eastAsia="zh-CN"/>
        </w:rPr>
      </w:pPr>
      <w:r>
        <w:rPr>
          <w:rFonts w:hint="eastAsia" w:ascii="宋体" w:hAnsi="宋体" w:eastAsia="宋体" w:cs="宋体"/>
          <w:sz w:val="24"/>
          <w:lang w:val="en-US" w:eastAsia="zh-CN"/>
        </w:rPr>
        <w:t>（2）供应商须知前附表中规定的其他不予退还磋商保证金的情形。</w:t>
      </w:r>
    </w:p>
    <w:p w14:paraId="18C02F46">
      <w:pPr>
        <w:spacing w:line="360" w:lineRule="auto"/>
        <w:ind w:firstLine="435"/>
        <w:rPr>
          <w:rFonts w:asciiTheme="minorEastAsia" w:hAnsiTheme="minorEastAsia" w:eastAsiaTheme="minorEastAsia"/>
          <w:sz w:val="24"/>
        </w:rPr>
      </w:pPr>
      <w:r>
        <w:rPr>
          <w:rFonts w:hint="eastAsia" w:ascii="宋体" w:hAnsi="宋体" w:eastAsia="宋体" w:cs="宋体"/>
          <w:sz w:val="24"/>
          <w:lang w:val="en-US" w:eastAsia="zh-CN"/>
        </w:rPr>
        <w:t>13.4</w:t>
      </w:r>
      <w:r>
        <w:rPr>
          <w:rFonts w:hint="eastAsia" w:ascii="宋体" w:hAnsi="宋体" w:eastAsia="宋体" w:cs="@仿宋_GB2312"/>
          <w:sz w:val="24"/>
          <w:szCs w:val="20"/>
          <w:lang w:val="en-US" w:eastAsia="zh-CN"/>
        </w:rPr>
        <w:t>成交供应商拒绝缴纳代理费用的，代理机构有权从磋商保证金中优先扣除。</w:t>
      </w:r>
    </w:p>
    <w:p w14:paraId="290FB129">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4.</w:t>
      </w:r>
      <w:r>
        <w:rPr>
          <w:rFonts w:hint="eastAsia" w:asciiTheme="minorEastAsia" w:hAnsiTheme="minorEastAsia" w:eastAsiaTheme="minorEastAsia"/>
          <w:b/>
          <w:sz w:val="24"/>
        </w:rPr>
        <w:t>磋商有效期</w:t>
      </w:r>
    </w:p>
    <w:p w14:paraId="6FD159C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14.1磋商有效期为从响应文件提交截止之日算起的日历天数，磋商有效期详见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4CEF55B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14.2在磋商有效期内，供应商的磋商保持有效，供应商不得要求撤销或修改其响应文件。磋商有效期不满足要求的响应，其响应文件将被认定为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51059C79">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14.3为保证有充分时间签订合同，采购人或采购代理机构可根据实际情况，在原磋商有效期截止之前，要求供应商延长磋商有效期。接受该要求的供应商将不会被要求和允许修正其响应文件。供应商可以拒绝延长磋商有效期的要求，且不承担任何责任。上述要求和答复都应以书面形式提交。</w:t>
      </w:r>
    </w:p>
    <w:p w14:paraId="7ED47CC7">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5.</w:t>
      </w:r>
      <w:r>
        <w:rPr>
          <w:rFonts w:hint="eastAsia" w:asciiTheme="minorEastAsia" w:hAnsiTheme="minorEastAsia" w:eastAsiaTheme="minorEastAsia"/>
          <w:b/>
          <w:sz w:val="24"/>
        </w:rPr>
        <w:t>响应文件的制作</w:t>
      </w:r>
    </w:p>
    <w:p w14:paraId="183B264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15.1本项目要求提供加密电子响应文件，响应</w:t>
      </w:r>
      <w:r>
        <w:rPr>
          <w:rFonts w:asciiTheme="minorEastAsia" w:hAnsiTheme="minorEastAsia" w:eastAsiaTheme="minorEastAsia"/>
          <w:sz w:val="24"/>
        </w:rPr>
        <w:t>文件的制作应满足以下规定：</w:t>
      </w:r>
    </w:p>
    <w:p w14:paraId="41ABECF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w:t>
      </w:r>
      <w:r>
        <w:rPr>
          <w:rFonts w:hint="eastAsia" w:asciiTheme="minorEastAsia" w:hAnsiTheme="minorEastAsia" w:eastAsiaTheme="minorEastAsia"/>
          <w:sz w:val="24"/>
        </w:rPr>
        <w:t>响应</w:t>
      </w:r>
      <w:r>
        <w:rPr>
          <w:rFonts w:asciiTheme="minorEastAsia" w:hAnsiTheme="minorEastAsia" w:eastAsiaTheme="minorEastAsia"/>
          <w:sz w:val="24"/>
        </w:rPr>
        <w:t>文件由</w:t>
      </w:r>
      <w:r>
        <w:rPr>
          <w:rFonts w:hint="eastAsia" w:asciiTheme="minorEastAsia" w:hAnsiTheme="minorEastAsia" w:eastAsiaTheme="minorEastAsia"/>
          <w:sz w:val="24"/>
        </w:rPr>
        <w:t>供应商</w:t>
      </w:r>
      <w:r>
        <w:rPr>
          <w:rFonts w:asciiTheme="minorEastAsia" w:hAnsiTheme="minorEastAsia" w:eastAsiaTheme="minorEastAsia"/>
          <w:sz w:val="24"/>
        </w:rPr>
        <w:t>使用电子交易系统提供的“投标文件制作工具”制作生成。“投标文件制作工具”可以通过电子交易系统中下载。</w:t>
      </w:r>
      <w:r>
        <w:rPr>
          <w:rFonts w:hint="eastAsia" w:asciiTheme="minorEastAsia" w:hAnsiTheme="minorEastAsia" w:eastAsiaTheme="minorEastAsia"/>
          <w:sz w:val="24"/>
        </w:rPr>
        <w:t>供应商</w:t>
      </w:r>
      <w:r>
        <w:rPr>
          <w:rFonts w:asciiTheme="minorEastAsia" w:hAnsiTheme="minorEastAsia" w:eastAsiaTheme="minorEastAsia"/>
          <w:sz w:val="24"/>
        </w:rPr>
        <w:t>应当在互联网络通畅状态下启用最新版投标文件制作工具制作</w:t>
      </w:r>
      <w:r>
        <w:rPr>
          <w:rFonts w:hint="eastAsia" w:asciiTheme="minorEastAsia" w:hAnsiTheme="minorEastAsia" w:eastAsiaTheme="minorEastAsia"/>
          <w:sz w:val="24"/>
        </w:rPr>
        <w:t>响应</w:t>
      </w:r>
      <w:r>
        <w:rPr>
          <w:rFonts w:asciiTheme="minorEastAsia" w:hAnsiTheme="minorEastAsia" w:eastAsiaTheme="minorEastAsia"/>
          <w:sz w:val="24"/>
        </w:rPr>
        <w:t>文件。</w:t>
      </w:r>
    </w:p>
    <w:p w14:paraId="5A18CDA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2）在第</w:t>
      </w:r>
      <w:r>
        <w:rPr>
          <w:rFonts w:hint="eastAsia" w:asciiTheme="minorEastAsia" w:hAnsiTheme="minorEastAsia" w:eastAsiaTheme="minorEastAsia"/>
          <w:sz w:val="24"/>
        </w:rPr>
        <w:t>六</w:t>
      </w:r>
      <w:r>
        <w:rPr>
          <w:rFonts w:asciiTheme="minorEastAsia" w:hAnsiTheme="minorEastAsia" w:eastAsiaTheme="minorEastAsia"/>
          <w:sz w:val="24"/>
        </w:rPr>
        <w:t>章“</w:t>
      </w:r>
      <w:r>
        <w:rPr>
          <w:rFonts w:hint="eastAsia" w:asciiTheme="minorEastAsia" w:hAnsiTheme="minorEastAsia" w:eastAsiaTheme="minorEastAsia"/>
          <w:sz w:val="24"/>
        </w:rPr>
        <w:t>响应</w:t>
      </w:r>
      <w:r>
        <w:rPr>
          <w:rFonts w:asciiTheme="minorEastAsia" w:hAnsiTheme="minorEastAsia" w:eastAsiaTheme="minorEastAsia"/>
          <w:sz w:val="24"/>
        </w:rPr>
        <w:t>文件格式”中要求</w:t>
      </w:r>
      <w:r>
        <w:rPr>
          <w:rFonts w:hint="eastAsia" w:asciiTheme="minorEastAsia" w:hAnsiTheme="minorEastAsia" w:eastAsiaTheme="minorEastAsia"/>
          <w:sz w:val="24"/>
        </w:rPr>
        <w:t>加</w:t>
      </w:r>
      <w:r>
        <w:rPr>
          <w:rFonts w:asciiTheme="minorEastAsia" w:hAnsiTheme="minorEastAsia" w:eastAsiaTheme="minorEastAsia"/>
          <w:sz w:val="24"/>
        </w:rPr>
        <w:t>盖</w:t>
      </w:r>
      <w:r>
        <w:rPr>
          <w:rFonts w:hint="eastAsia" w:asciiTheme="minorEastAsia" w:hAnsiTheme="minorEastAsia" w:eastAsiaTheme="minorEastAsia"/>
          <w:sz w:val="24"/>
        </w:rPr>
        <w:t>供应商</w:t>
      </w:r>
      <w:r>
        <w:rPr>
          <w:rFonts w:asciiTheme="minorEastAsia" w:hAnsiTheme="minorEastAsia" w:eastAsiaTheme="minorEastAsia"/>
          <w:sz w:val="24"/>
        </w:rPr>
        <w:t>电子</w:t>
      </w:r>
      <w:r>
        <w:rPr>
          <w:rFonts w:hint="eastAsia" w:asciiTheme="minorEastAsia" w:hAnsiTheme="minorEastAsia" w:eastAsiaTheme="minorEastAsia"/>
          <w:sz w:val="24"/>
        </w:rPr>
        <w:t>签</w:t>
      </w:r>
      <w:r>
        <w:rPr>
          <w:rFonts w:asciiTheme="minorEastAsia" w:hAnsiTheme="minorEastAsia" w:eastAsiaTheme="minorEastAsia"/>
          <w:sz w:val="24"/>
        </w:rPr>
        <w:t>章处，</w:t>
      </w:r>
      <w:r>
        <w:rPr>
          <w:rFonts w:hint="eastAsia" w:asciiTheme="minorEastAsia" w:hAnsiTheme="minorEastAsia" w:eastAsiaTheme="minorEastAsia"/>
          <w:sz w:val="24"/>
        </w:rPr>
        <w:t>供应商</w:t>
      </w:r>
      <w:r>
        <w:rPr>
          <w:rFonts w:asciiTheme="minorEastAsia" w:hAnsiTheme="minorEastAsia" w:eastAsiaTheme="minorEastAsia"/>
          <w:sz w:val="24"/>
        </w:rPr>
        <w:t>均应加盖</w:t>
      </w:r>
      <w:r>
        <w:rPr>
          <w:rFonts w:hint="eastAsia" w:asciiTheme="minorEastAsia" w:hAnsiTheme="minorEastAsia" w:eastAsiaTheme="minorEastAsia"/>
          <w:sz w:val="24"/>
        </w:rPr>
        <w:t>供应商</w:t>
      </w:r>
      <w:r>
        <w:rPr>
          <w:rFonts w:asciiTheme="minorEastAsia" w:hAnsiTheme="minorEastAsia" w:eastAsiaTheme="minorEastAsia"/>
          <w:sz w:val="24"/>
        </w:rPr>
        <w:t>电子</w:t>
      </w:r>
      <w:r>
        <w:rPr>
          <w:rFonts w:hint="eastAsia" w:asciiTheme="minorEastAsia" w:hAnsiTheme="minorEastAsia" w:eastAsiaTheme="minorEastAsia"/>
          <w:sz w:val="24"/>
        </w:rPr>
        <w:t>签</w:t>
      </w:r>
      <w:r>
        <w:rPr>
          <w:rFonts w:asciiTheme="minorEastAsia" w:hAnsiTheme="minorEastAsia" w:eastAsiaTheme="minorEastAsia"/>
          <w:sz w:val="24"/>
        </w:rPr>
        <w:t>章</w:t>
      </w:r>
      <w:r>
        <w:rPr>
          <w:rFonts w:hint="eastAsia" w:asciiTheme="minorEastAsia" w:hAnsiTheme="minorEastAsia" w:eastAsiaTheme="minorEastAsia"/>
          <w:sz w:val="24"/>
        </w:rPr>
        <w:t>或公章</w:t>
      </w:r>
      <w:r>
        <w:rPr>
          <w:rFonts w:asciiTheme="minorEastAsia" w:hAnsiTheme="minorEastAsia" w:eastAsiaTheme="minorEastAsia"/>
          <w:sz w:val="24"/>
        </w:rPr>
        <w:t>。联合体参加磋商的，除联合协议</w:t>
      </w:r>
      <w:r>
        <w:rPr>
          <w:rFonts w:hint="eastAsia" w:asciiTheme="minorEastAsia" w:hAnsiTheme="minorEastAsia" w:eastAsiaTheme="minorEastAsia"/>
          <w:sz w:val="24"/>
        </w:rPr>
        <w:t>及磋商文件规定须联合体各成员单位各自盖章的证明材料</w:t>
      </w:r>
      <w:r>
        <w:rPr>
          <w:rFonts w:asciiTheme="minorEastAsia" w:hAnsiTheme="minorEastAsia" w:eastAsiaTheme="minorEastAsia"/>
          <w:sz w:val="24"/>
        </w:rPr>
        <w:t>外，</w:t>
      </w:r>
      <w:r>
        <w:rPr>
          <w:rFonts w:hint="eastAsia" w:asciiTheme="minorEastAsia" w:hAnsiTheme="minorEastAsia" w:eastAsiaTheme="minorEastAsia"/>
          <w:sz w:val="24"/>
        </w:rPr>
        <w:t>响应</w:t>
      </w:r>
      <w:r>
        <w:rPr>
          <w:rFonts w:asciiTheme="minorEastAsia" w:hAnsiTheme="minorEastAsia" w:eastAsiaTheme="minorEastAsia"/>
          <w:sz w:val="24"/>
        </w:rPr>
        <w:t>文件由联合体牵头人按上述规定加盖联合体牵头人单位电子</w:t>
      </w:r>
      <w:r>
        <w:rPr>
          <w:rFonts w:hint="eastAsia" w:asciiTheme="minorEastAsia" w:hAnsiTheme="minorEastAsia" w:eastAsiaTheme="minorEastAsia"/>
          <w:sz w:val="24"/>
        </w:rPr>
        <w:t>签</w:t>
      </w:r>
      <w:r>
        <w:rPr>
          <w:rFonts w:asciiTheme="minorEastAsia" w:hAnsiTheme="minorEastAsia" w:eastAsiaTheme="minorEastAsia"/>
          <w:sz w:val="24"/>
        </w:rPr>
        <w:t>章</w:t>
      </w:r>
      <w:r>
        <w:rPr>
          <w:rFonts w:hint="eastAsia" w:asciiTheme="minorEastAsia" w:hAnsiTheme="minorEastAsia" w:eastAsiaTheme="minorEastAsia"/>
          <w:sz w:val="24"/>
        </w:rPr>
        <w:t>或公章</w:t>
      </w:r>
      <w:r>
        <w:rPr>
          <w:rFonts w:asciiTheme="minorEastAsia" w:hAnsiTheme="minorEastAsia" w:eastAsiaTheme="minorEastAsia"/>
          <w:sz w:val="24"/>
        </w:rPr>
        <w:t>。</w:t>
      </w:r>
    </w:p>
    <w:p w14:paraId="7CCEC7C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3）</w:t>
      </w:r>
      <w:r>
        <w:rPr>
          <w:rFonts w:hint="eastAsia" w:asciiTheme="minorEastAsia" w:hAnsiTheme="minorEastAsia" w:eastAsiaTheme="minorEastAsia"/>
          <w:sz w:val="24"/>
        </w:rPr>
        <w:t>响应</w:t>
      </w:r>
      <w:r>
        <w:rPr>
          <w:rFonts w:asciiTheme="minorEastAsia" w:hAnsiTheme="minorEastAsia" w:eastAsiaTheme="minorEastAsia"/>
          <w:sz w:val="24"/>
        </w:rPr>
        <w:t>文件制作完成后，</w:t>
      </w:r>
      <w:r>
        <w:rPr>
          <w:rFonts w:hint="eastAsia" w:asciiTheme="minorEastAsia" w:hAnsiTheme="minorEastAsia" w:eastAsiaTheme="minorEastAsia"/>
          <w:sz w:val="24"/>
        </w:rPr>
        <w:t>供应商</w:t>
      </w:r>
      <w:r>
        <w:rPr>
          <w:rFonts w:asciiTheme="minorEastAsia" w:hAnsiTheme="minorEastAsia" w:eastAsiaTheme="minorEastAsia"/>
          <w:sz w:val="24"/>
        </w:rPr>
        <w:t>应对</w:t>
      </w:r>
      <w:r>
        <w:rPr>
          <w:rFonts w:hint="eastAsia" w:asciiTheme="minorEastAsia" w:hAnsiTheme="minorEastAsia" w:eastAsiaTheme="minorEastAsia"/>
          <w:sz w:val="24"/>
        </w:rPr>
        <w:t>响应</w:t>
      </w:r>
      <w:r>
        <w:rPr>
          <w:rFonts w:asciiTheme="minorEastAsia" w:hAnsiTheme="minorEastAsia" w:eastAsiaTheme="minorEastAsia"/>
          <w:sz w:val="24"/>
        </w:rPr>
        <w:t>文件进行文件加密，形成加密的</w:t>
      </w:r>
      <w:r>
        <w:rPr>
          <w:rFonts w:hint="eastAsia" w:asciiTheme="minorEastAsia" w:hAnsiTheme="minorEastAsia" w:eastAsiaTheme="minorEastAsia"/>
          <w:sz w:val="24"/>
        </w:rPr>
        <w:t>响应</w:t>
      </w:r>
      <w:r>
        <w:rPr>
          <w:rFonts w:asciiTheme="minorEastAsia" w:hAnsiTheme="minorEastAsia" w:eastAsiaTheme="minorEastAsia"/>
          <w:sz w:val="24"/>
        </w:rPr>
        <w:t>文件。采用数字证书加密的，加密时</w:t>
      </w:r>
      <w:r>
        <w:rPr>
          <w:rFonts w:hint="eastAsia" w:asciiTheme="minorEastAsia" w:hAnsiTheme="minorEastAsia" w:eastAsiaTheme="minorEastAsia"/>
          <w:sz w:val="24"/>
        </w:rPr>
        <w:t>响应</w:t>
      </w:r>
      <w:r>
        <w:rPr>
          <w:rFonts w:asciiTheme="minorEastAsia" w:hAnsiTheme="minorEastAsia" w:eastAsiaTheme="minorEastAsia"/>
          <w:sz w:val="24"/>
        </w:rPr>
        <w:t>文件的所有内容均只能使用同一把数字证书进行加密，否则引起的解密失败责任由</w:t>
      </w:r>
      <w:r>
        <w:rPr>
          <w:rFonts w:hint="eastAsia" w:asciiTheme="minorEastAsia" w:hAnsiTheme="minorEastAsia" w:eastAsiaTheme="minorEastAsia"/>
          <w:sz w:val="24"/>
        </w:rPr>
        <w:t>供应商</w:t>
      </w:r>
      <w:r>
        <w:rPr>
          <w:rFonts w:asciiTheme="minorEastAsia" w:hAnsiTheme="minorEastAsia" w:eastAsiaTheme="minorEastAsia"/>
          <w:sz w:val="24"/>
        </w:rPr>
        <w:t>自行承担。</w:t>
      </w:r>
    </w:p>
    <w:p w14:paraId="065FF38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4）</w:t>
      </w:r>
      <w:r>
        <w:rPr>
          <w:rFonts w:hint="eastAsia" w:asciiTheme="minorEastAsia" w:hAnsiTheme="minorEastAsia" w:eastAsiaTheme="minorEastAsia"/>
          <w:sz w:val="24"/>
        </w:rPr>
        <w:t>响应</w:t>
      </w:r>
      <w:r>
        <w:rPr>
          <w:rFonts w:asciiTheme="minorEastAsia" w:hAnsiTheme="minorEastAsia" w:eastAsiaTheme="minorEastAsia"/>
          <w:sz w:val="24"/>
        </w:rPr>
        <w:t>文件制作的具体方法详见</w:t>
      </w:r>
      <w:r>
        <w:rPr>
          <w:rFonts w:hint="eastAsia" w:asciiTheme="minorEastAsia" w:hAnsiTheme="minorEastAsia" w:eastAsiaTheme="minorEastAsia"/>
          <w:sz w:val="24"/>
          <w:lang w:val="en-US" w:eastAsia="zh-CN"/>
        </w:rPr>
        <w:t>电子交易系统</w:t>
      </w:r>
      <w:r>
        <w:rPr>
          <w:rFonts w:asciiTheme="minorEastAsia" w:hAnsiTheme="minorEastAsia" w:eastAsiaTheme="minorEastAsia"/>
          <w:sz w:val="24"/>
        </w:rPr>
        <w:t>。</w:t>
      </w:r>
    </w:p>
    <w:p w14:paraId="62DF9D01">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15.2因</w:t>
      </w:r>
      <w:r>
        <w:rPr>
          <w:rFonts w:hint="eastAsia" w:asciiTheme="minorEastAsia" w:hAnsiTheme="minorEastAsia" w:eastAsiaTheme="minorEastAsia"/>
          <w:sz w:val="24"/>
        </w:rPr>
        <w:t>供应商</w:t>
      </w:r>
      <w:r>
        <w:rPr>
          <w:rFonts w:asciiTheme="minorEastAsia" w:hAnsiTheme="minorEastAsia" w:eastAsiaTheme="minorEastAsia"/>
          <w:sz w:val="24"/>
        </w:rPr>
        <w:t>自身原因而导致</w:t>
      </w:r>
      <w:r>
        <w:rPr>
          <w:rFonts w:hint="eastAsia" w:asciiTheme="minorEastAsia" w:hAnsiTheme="minorEastAsia" w:eastAsiaTheme="minorEastAsia"/>
          <w:sz w:val="24"/>
        </w:rPr>
        <w:t>响应</w:t>
      </w:r>
      <w:r>
        <w:rPr>
          <w:rFonts w:asciiTheme="minorEastAsia" w:hAnsiTheme="minorEastAsia" w:eastAsiaTheme="minorEastAsia"/>
          <w:sz w:val="24"/>
        </w:rPr>
        <w:t>文件无法导入电子交易</w:t>
      </w:r>
      <w:r>
        <w:rPr>
          <w:rFonts w:hint="eastAsia" w:asciiTheme="minorEastAsia" w:hAnsiTheme="minorEastAsia" w:eastAsiaTheme="minorEastAsia"/>
          <w:sz w:val="24"/>
        </w:rPr>
        <w:t>系统</w:t>
      </w:r>
      <w:r>
        <w:rPr>
          <w:rFonts w:asciiTheme="minorEastAsia" w:hAnsiTheme="minorEastAsia" w:eastAsiaTheme="minorEastAsia"/>
          <w:sz w:val="24"/>
        </w:rPr>
        <w:t>电子开标、评标系统</w:t>
      </w:r>
      <w:r>
        <w:rPr>
          <w:rFonts w:hint="eastAsia" w:asciiTheme="minorEastAsia" w:hAnsiTheme="minorEastAsia" w:eastAsiaTheme="minorEastAsia"/>
          <w:sz w:val="24"/>
        </w:rPr>
        <w:t>的</w:t>
      </w:r>
      <w:r>
        <w:rPr>
          <w:rFonts w:asciiTheme="minorEastAsia" w:hAnsiTheme="minorEastAsia" w:eastAsiaTheme="minorEastAsia"/>
          <w:sz w:val="24"/>
        </w:rPr>
        <w:t>，该</w:t>
      </w:r>
      <w:r>
        <w:rPr>
          <w:rFonts w:hint="eastAsia" w:asciiTheme="minorEastAsia" w:hAnsiTheme="minorEastAsia" w:eastAsiaTheme="minorEastAsia"/>
          <w:sz w:val="24"/>
        </w:rPr>
        <w:t>响应文件</w:t>
      </w:r>
      <w:r>
        <w:rPr>
          <w:rFonts w:asciiTheme="minorEastAsia" w:hAnsiTheme="minorEastAsia" w:eastAsiaTheme="minorEastAsia"/>
          <w:sz w:val="24"/>
        </w:rPr>
        <w:t>视为无效</w:t>
      </w:r>
      <w:r>
        <w:rPr>
          <w:rFonts w:hint="eastAsia" w:asciiTheme="minorEastAsia" w:hAnsiTheme="minorEastAsia" w:eastAsiaTheme="minorEastAsia"/>
          <w:sz w:val="24"/>
        </w:rPr>
        <w:t>响应文件</w:t>
      </w:r>
      <w:r>
        <w:rPr>
          <w:rFonts w:asciiTheme="minorEastAsia" w:hAnsiTheme="minorEastAsia" w:eastAsiaTheme="minorEastAsia"/>
          <w:sz w:val="24"/>
        </w:rPr>
        <w:t>，</w:t>
      </w:r>
      <w:r>
        <w:rPr>
          <w:rFonts w:hint="eastAsia" w:asciiTheme="minorEastAsia" w:hAnsiTheme="minorEastAsia" w:eastAsiaTheme="minorEastAsia"/>
          <w:sz w:val="24"/>
        </w:rPr>
        <w:t>供应商</w:t>
      </w:r>
      <w:r>
        <w:rPr>
          <w:rFonts w:asciiTheme="minorEastAsia" w:hAnsiTheme="minorEastAsia" w:eastAsiaTheme="minorEastAsia"/>
          <w:sz w:val="24"/>
        </w:rPr>
        <w:t>自行承担由此导致的全部责任。（该</w:t>
      </w:r>
      <w:r>
        <w:rPr>
          <w:rFonts w:hint="eastAsia" w:asciiTheme="minorEastAsia" w:hAnsiTheme="minorEastAsia" w:eastAsiaTheme="minorEastAsia"/>
          <w:sz w:val="24"/>
        </w:rPr>
        <w:t>响应</w:t>
      </w:r>
      <w:r>
        <w:rPr>
          <w:rFonts w:asciiTheme="minorEastAsia" w:hAnsiTheme="minorEastAsia" w:eastAsiaTheme="minorEastAsia"/>
          <w:sz w:val="24"/>
        </w:rPr>
        <w:t>文件是指解密后的</w:t>
      </w:r>
      <w:r>
        <w:rPr>
          <w:rFonts w:hint="eastAsia" w:asciiTheme="minorEastAsia" w:hAnsiTheme="minorEastAsia" w:eastAsiaTheme="minorEastAsia"/>
          <w:sz w:val="24"/>
        </w:rPr>
        <w:t>响应</w:t>
      </w:r>
      <w:r>
        <w:rPr>
          <w:rFonts w:asciiTheme="minorEastAsia" w:hAnsiTheme="minorEastAsia" w:eastAsiaTheme="minorEastAsia"/>
          <w:sz w:val="24"/>
        </w:rPr>
        <w:t>文件）。</w:t>
      </w:r>
    </w:p>
    <w:p w14:paraId="54C82E4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5.3</w:t>
      </w:r>
      <w:r>
        <w:rPr>
          <w:rFonts w:hint="eastAsia" w:asciiTheme="minorEastAsia" w:hAnsiTheme="minorEastAsia" w:eastAsiaTheme="minorEastAsia"/>
          <w:sz w:val="24"/>
        </w:rPr>
        <w:t>磋商现场提交的其他材料要求详见</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w:t>
      </w:r>
    </w:p>
    <w:p w14:paraId="257AB87E">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6.</w:t>
      </w:r>
      <w:r>
        <w:rPr>
          <w:rFonts w:hint="eastAsia" w:asciiTheme="minorEastAsia" w:hAnsiTheme="minorEastAsia" w:eastAsiaTheme="minorEastAsia"/>
          <w:b/>
          <w:sz w:val="24"/>
        </w:rPr>
        <w:t>响应文件提交截止时间</w:t>
      </w:r>
    </w:p>
    <w:p w14:paraId="7B371AF5">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16.1供应商应在</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中规定的</w:t>
      </w:r>
      <w:r>
        <w:rPr>
          <w:rFonts w:hint="eastAsia" w:asciiTheme="minorEastAsia" w:hAnsiTheme="minorEastAsia" w:eastAsiaTheme="minorEastAsia"/>
          <w:sz w:val="24"/>
        </w:rPr>
        <w:t>响应文件提交</w:t>
      </w:r>
      <w:r>
        <w:rPr>
          <w:rFonts w:asciiTheme="minorEastAsia" w:hAnsiTheme="minorEastAsia" w:eastAsiaTheme="minorEastAsia"/>
          <w:sz w:val="24"/>
        </w:rPr>
        <w:t>截止时间前，在网上提交加密电子响应文件。</w:t>
      </w:r>
    </w:p>
    <w:p w14:paraId="2109EB7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16.2</w:t>
      </w:r>
      <w:r>
        <w:rPr>
          <w:rFonts w:hint="eastAsia" w:asciiTheme="minorEastAsia" w:hAnsiTheme="minorEastAsia" w:eastAsiaTheme="minorEastAsia"/>
          <w:sz w:val="24"/>
        </w:rPr>
        <w:t>供应商</w:t>
      </w:r>
      <w:r>
        <w:rPr>
          <w:rFonts w:asciiTheme="minorEastAsia" w:hAnsiTheme="minorEastAsia" w:eastAsiaTheme="minorEastAsia"/>
          <w:sz w:val="24"/>
        </w:rPr>
        <w:t>在</w:t>
      </w:r>
      <w:r>
        <w:rPr>
          <w:rFonts w:hint="eastAsia" w:asciiTheme="minorEastAsia" w:hAnsiTheme="minorEastAsia" w:eastAsiaTheme="minorEastAsia"/>
          <w:sz w:val="24"/>
        </w:rPr>
        <w:t>磋商</w:t>
      </w:r>
      <w:r>
        <w:rPr>
          <w:rFonts w:asciiTheme="minorEastAsia" w:hAnsiTheme="minorEastAsia" w:eastAsiaTheme="minorEastAsia"/>
          <w:sz w:val="24"/>
        </w:rPr>
        <w:t>文件规定的</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前上传了网上加密电子</w:t>
      </w:r>
      <w:r>
        <w:rPr>
          <w:rFonts w:hint="eastAsia" w:asciiTheme="minorEastAsia" w:hAnsiTheme="minorEastAsia" w:eastAsiaTheme="minorEastAsia"/>
          <w:sz w:val="24"/>
        </w:rPr>
        <w:t>响应</w:t>
      </w:r>
      <w:r>
        <w:rPr>
          <w:rFonts w:asciiTheme="minorEastAsia" w:hAnsiTheme="minorEastAsia" w:eastAsiaTheme="minorEastAsia"/>
          <w:sz w:val="24"/>
        </w:rPr>
        <w:t>文件，但未在规定时间内进行解密的，</w:t>
      </w:r>
      <w:r>
        <w:rPr>
          <w:rFonts w:hint="eastAsia" w:asciiTheme="minorEastAsia" w:hAnsiTheme="minorEastAsia" w:eastAsiaTheme="minorEastAsia"/>
          <w:b/>
          <w:sz w:val="24"/>
        </w:rPr>
        <w:t>响应无效</w:t>
      </w:r>
      <w:r>
        <w:rPr>
          <w:rFonts w:asciiTheme="minorEastAsia" w:hAnsiTheme="minorEastAsia" w:eastAsiaTheme="minorEastAsia"/>
          <w:sz w:val="24"/>
        </w:rPr>
        <w:t>。</w:t>
      </w:r>
    </w:p>
    <w:p w14:paraId="24DFD74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16.</w:t>
      </w:r>
      <w:r>
        <w:rPr>
          <w:rFonts w:hint="eastAsia" w:asciiTheme="minorEastAsia" w:hAnsiTheme="minorEastAsia" w:eastAsiaTheme="minorEastAsia"/>
          <w:sz w:val="24"/>
        </w:rPr>
        <w:t>3</w:t>
      </w:r>
      <w:r>
        <w:rPr>
          <w:rFonts w:asciiTheme="minorEastAsia" w:hAnsiTheme="minorEastAsia" w:eastAsiaTheme="minorEastAsia"/>
          <w:sz w:val="24"/>
        </w:rPr>
        <w:t>采购人和采购代理机构延迟</w:t>
      </w:r>
      <w:r>
        <w:rPr>
          <w:rFonts w:hint="eastAsia" w:asciiTheme="minorEastAsia" w:hAnsiTheme="minorEastAsia" w:eastAsiaTheme="minorEastAsia"/>
          <w:sz w:val="24"/>
        </w:rPr>
        <w:t>响应文件提交截止时间的</w:t>
      </w:r>
      <w:r>
        <w:rPr>
          <w:rFonts w:asciiTheme="minorEastAsia" w:hAnsiTheme="minorEastAsia" w:eastAsiaTheme="minorEastAsia"/>
          <w:sz w:val="24"/>
        </w:rPr>
        <w:t>。采购人、采购代理机构和供应商受</w:t>
      </w:r>
      <w:r>
        <w:rPr>
          <w:rFonts w:hint="eastAsia" w:asciiTheme="minorEastAsia" w:hAnsiTheme="minorEastAsia" w:eastAsiaTheme="minorEastAsia"/>
          <w:sz w:val="24"/>
        </w:rPr>
        <w:t>响应文件提交截止时间</w:t>
      </w:r>
      <w:r>
        <w:rPr>
          <w:rFonts w:asciiTheme="minorEastAsia" w:hAnsiTheme="minorEastAsia" w:eastAsiaTheme="minorEastAsia"/>
          <w:sz w:val="24"/>
        </w:rPr>
        <w:t>制约的所有权利和义务均应延长至新的截止时间。</w:t>
      </w:r>
    </w:p>
    <w:p w14:paraId="28FD5F90">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7.</w:t>
      </w:r>
      <w:r>
        <w:rPr>
          <w:rFonts w:hint="eastAsia" w:asciiTheme="minorEastAsia" w:hAnsiTheme="minorEastAsia" w:eastAsiaTheme="minorEastAsia"/>
          <w:b/>
          <w:sz w:val="24"/>
        </w:rPr>
        <w:t>响应文件的提交、修改与撤回</w:t>
      </w:r>
    </w:p>
    <w:p w14:paraId="347A2577">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.1供应商应当在第一章“磋商邀请”规定的响应文件提交截止时间前</w:t>
      </w:r>
      <w:r>
        <w:rPr>
          <w:rFonts w:asciiTheme="minorEastAsia" w:hAnsiTheme="minorEastAsia" w:eastAsiaTheme="minorEastAsia"/>
          <w:sz w:val="24"/>
        </w:rPr>
        <w:t>，将加密的</w:t>
      </w:r>
      <w:r>
        <w:rPr>
          <w:rFonts w:hint="eastAsia" w:asciiTheme="minorEastAsia" w:hAnsiTheme="minorEastAsia" w:eastAsiaTheme="minorEastAsia"/>
          <w:sz w:val="24"/>
        </w:rPr>
        <w:t>响应</w:t>
      </w:r>
      <w:r>
        <w:rPr>
          <w:rFonts w:asciiTheme="minorEastAsia" w:hAnsiTheme="minorEastAsia" w:eastAsiaTheme="minorEastAsia"/>
          <w:sz w:val="24"/>
        </w:rPr>
        <w:t>文件</w:t>
      </w:r>
      <w:r>
        <w:rPr>
          <w:rFonts w:hint="eastAsia" w:asciiTheme="minorEastAsia" w:hAnsiTheme="minorEastAsia" w:eastAsiaTheme="minorEastAsia"/>
          <w:sz w:val="24"/>
        </w:rPr>
        <w:t>在电子交易系统</w:t>
      </w:r>
      <w:r>
        <w:rPr>
          <w:rFonts w:asciiTheme="minorEastAsia" w:hAnsiTheme="minorEastAsia" w:eastAsiaTheme="minorEastAsia"/>
          <w:sz w:val="24"/>
        </w:rPr>
        <w:t>上传。</w:t>
      </w:r>
    </w:p>
    <w:p w14:paraId="2F08A9ED">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17</w:t>
      </w:r>
      <w:r>
        <w:rPr>
          <w:rFonts w:hint="eastAsia" w:asciiTheme="minorEastAsia" w:hAnsiTheme="minorEastAsia" w:eastAsiaTheme="minorEastAsia"/>
          <w:sz w:val="24"/>
        </w:rPr>
        <w:t>.2供应商应当在响应文件提交截止时间前完成响应文件的传输提交（以接收到电子签收凭证为准），并可以补充、修改或者撤回响应文件。响应文件提交截止时间前未完成响应文件传输的，视为撤回响应文件。未按规定加密或响应文件提交截止时间后送达的响应文件，电子交易系统应当拒收。</w:t>
      </w:r>
    </w:p>
    <w:p w14:paraId="794D6461">
      <w:pPr>
        <w:spacing w:line="360" w:lineRule="auto"/>
        <w:ind w:firstLine="435"/>
        <w:rPr>
          <w:rFonts w:asciiTheme="minorEastAsia" w:hAnsiTheme="minorEastAsia" w:eastAsiaTheme="minorEastAsia"/>
          <w:sz w:val="24"/>
          <w:highlight w:val="none"/>
        </w:rPr>
      </w:pPr>
      <w:r>
        <w:rPr>
          <w:rFonts w:asciiTheme="minorEastAsia" w:hAnsiTheme="minorEastAsia" w:eastAsiaTheme="minorEastAsia"/>
          <w:sz w:val="24"/>
          <w:highlight w:val="none"/>
        </w:rPr>
        <w:t>17</w:t>
      </w:r>
      <w:r>
        <w:rPr>
          <w:rFonts w:hint="eastAsia" w:asciiTheme="minorEastAsia" w:hAnsiTheme="minorEastAsia" w:eastAsiaTheme="minorEastAsia"/>
          <w:sz w:val="24"/>
          <w:highlight w:val="none"/>
        </w:rPr>
        <w:t>.</w:t>
      </w:r>
      <w:r>
        <w:rPr>
          <w:rFonts w:asciiTheme="minorEastAsia" w:hAnsiTheme="minorEastAsia" w:eastAsiaTheme="minorEastAsia"/>
          <w:sz w:val="24"/>
          <w:highlight w:val="none"/>
        </w:rPr>
        <w:t>3</w:t>
      </w:r>
      <w:r>
        <w:rPr>
          <w:rFonts w:hint="eastAsia" w:asciiTheme="minorEastAsia" w:hAnsiTheme="minorEastAsia" w:eastAsiaTheme="minorEastAsia"/>
          <w:sz w:val="24"/>
          <w:highlight w:val="none"/>
        </w:rPr>
        <w:t>供应商应在</w:t>
      </w:r>
      <w:r>
        <w:rPr>
          <w:rFonts w:hint="eastAsia" w:asciiTheme="minorEastAsia" w:hAnsiTheme="minorEastAsia" w:eastAsiaTheme="minorEastAsia"/>
          <w:sz w:val="24"/>
          <w:highlight w:val="none"/>
          <w:u w:val="single"/>
        </w:rPr>
        <w:t>供应商须知前附表</w:t>
      </w:r>
      <w:r>
        <w:rPr>
          <w:rFonts w:hint="eastAsia" w:asciiTheme="minorEastAsia" w:hAnsiTheme="minorEastAsia" w:eastAsiaTheme="minorEastAsia"/>
          <w:sz w:val="24"/>
          <w:highlight w:val="none"/>
        </w:rPr>
        <w:t>规定的解密时间前（以电子交易系统解密倒计时为准）对本单位的响应文件进行解密。</w:t>
      </w:r>
    </w:p>
    <w:p w14:paraId="1FAF6BCC">
      <w:pPr>
        <w:spacing w:line="360" w:lineRule="auto"/>
        <w:ind w:firstLine="435"/>
        <w:rPr>
          <w:rFonts w:ascii="宋体" w:hAnsi="宋体" w:eastAsia="宋体"/>
          <w:sz w:val="24"/>
        </w:rPr>
      </w:pPr>
      <w:r>
        <w:rPr>
          <w:rFonts w:hint="eastAsia" w:asciiTheme="minorEastAsia" w:hAnsiTheme="minorEastAsia" w:eastAsiaTheme="minorEastAsia"/>
          <w:sz w:val="24"/>
        </w:rPr>
        <w:t>17.4在响应文件提交截止时间之后，供应商不得对其响应文件做任何修改。</w:t>
      </w:r>
      <w:r>
        <w:rPr>
          <w:rFonts w:hint="eastAsia" w:ascii="宋体" w:hAnsi="宋体" w:eastAsia="宋体"/>
          <w:sz w:val="24"/>
        </w:rPr>
        <w:t>但属于磋商小组在评审中发现的计算错误并进行核实的修改、按照磋商文件的变动情况和磋商小组的要求重新提交响应文件的，不在此列。</w:t>
      </w:r>
    </w:p>
    <w:p w14:paraId="0F4674F8">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8.</w:t>
      </w:r>
      <w:r>
        <w:rPr>
          <w:rFonts w:hint="eastAsia" w:asciiTheme="minorEastAsia" w:hAnsiTheme="minorEastAsia" w:eastAsiaTheme="minorEastAsia"/>
          <w:b/>
          <w:sz w:val="24"/>
        </w:rPr>
        <w:t>磋商小组</w:t>
      </w:r>
    </w:p>
    <w:p w14:paraId="1A3AC5B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.1</w:t>
      </w:r>
      <w:r>
        <w:rPr>
          <w:rFonts w:hint="eastAsia" w:asciiTheme="minorEastAsia" w:hAnsiTheme="minorEastAsia" w:eastAsiaTheme="minorEastAsia"/>
          <w:sz w:val="24"/>
        </w:rPr>
        <w:t>由采购人委派或采购人委托采购代理机构抽取经济技术专家等方式组建的</w:t>
      </w:r>
      <w:r>
        <w:rPr>
          <w:rFonts w:hint="eastAsia" w:asciiTheme="minorEastAsia" w:hAnsiTheme="minorEastAsia" w:eastAsiaTheme="minorEastAsia"/>
          <w:sz w:val="24"/>
          <w:lang w:val="en-US" w:eastAsia="zh-CN"/>
        </w:rPr>
        <w:t>磋商小组</w:t>
      </w:r>
      <w:r>
        <w:rPr>
          <w:rFonts w:hint="eastAsia" w:asciiTheme="minorEastAsia" w:hAnsiTheme="minorEastAsia" w:eastAsiaTheme="minorEastAsia"/>
          <w:sz w:val="24"/>
        </w:rPr>
        <w:t>，负责本项目</w:t>
      </w:r>
      <w:r>
        <w:rPr>
          <w:rFonts w:hint="eastAsia" w:asciiTheme="minorEastAsia" w:hAnsiTheme="minorEastAsia" w:eastAsiaTheme="minorEastAsia"/>
          <w:sz w:val="24"/>
          <w:lang w:val="en-US" w:eastAsia="zh-CN"/>
        </w:rPr>
        <w:t>评审</w:t>
      </w:r>
      <w:r>
        <w:rPr>
          <w:rFonts w:hint="eastAsia" w:asciiTheme="minorEastAsia" w:hAnsiTheme="minorEastAsia" w:eastAsiaTheme="minorEastAsia"/>
          <w:sz w:val="24"/>
        </w:rPr>
        <w:t>工作。</w:t>
      </w:r>
      <w:r>
        <w:rPr>
          <w:rFonts w:asciiTheme="minorEastAsia" w:hAnsiTheme="minorEastAsia" w:eastAsiaTheme="minorEastAsia"/>
          <w:sz w:val="24"/>
        </w:rPr>
        <w:t>磋商小组成员由3人以上单数组成，磋商小组及其成员应当依照有关规定履行相关职责和义务。</w:t>
      </w:r>
    </w:p>
    <w:p w14:paraId="0765B677">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.2磋商小组依法对响应文件进行评审，并根据磋商文件规定的程序、评定成交的标准等事项与实质性响应磋商文件要求的供应商进行磋商。</w:t>
      </w:r>
    </w:p>
    <w:p w14:paraId="21EA34C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18</w:t>
      </w:r>
      <w:r>
        <w:rPr>
          <w:rFonts w:asciiTheme="minorEastAsia" w:hAnsiTheme="minorEastAsia" w:eastAsiaTheme="minorEastAsia"/>
          <w:sz w:val="24"/>
        </w:rPr>
        <w:t>.3磋商小组应当从质量和服务均能满足磋商文件实质性响应要求的供应商中，按照评审</w:t>
      </w:r>
      <w:r>
        <w:rPr>
          <w:rFonts w:hint="eastAsia" w:asciiTheme="minorEastAsia" w:hAnsiTheme="minorEastAsia" w:eastAsiaTheme="minorEastAsia"/>
          <w:sz w:val="24"/>
        </w:rPr>
        <w:t>方</w:t>
      </w:r>
      <w:r>
        <w:rPr>
          <w:rFonts w:asciiTheme="minorEastAsia" w:hAnsiTheme="minorEastAsia" w:eastAsiaTheme="minorEastAsia"/>
          <w:sz w:val="24"/>
        </w:rPr>
        <w:t>法</w:t>
      </w:r>
      <w:r>
        <w:rPr>
          <w:rFonts w:hint="eastAsia" w:asciiTheme="minorEastAsia" w:hAnsiTheme="minorEastAsia" w:eastAsiaTheme="minorEastAsia"/>
          <w:sz w:val="24"/>
        </w:rPr>
        <w:t>和标准推荐</w:t>
      </w:r>
      <w:r>
        <w:rPr>
          <w:rFonts w:asciiTheme="minorEastAsia" w:hAnsiTheme="minorEastAsia" w:eastAsiaTheme="minorEastAsia"/>
          <w:sz w:val="24"/>
        </w:rPr>
        <w:t>成交候选供应商，并编写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635394CC">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19.响应文件的评审与磋商</w:t>
      </w:r>
    </w:p>
    <w:p w14:paraId="158BF70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w:t>
      </w:r>
      <w:r>
        <w:rPr>
          <w:rFonts w:asciiTheme="minorEastAsia" w:hAnsiTheme="minorEastAsia" w:eastAsiaTheme="minorEastAsia"/>
          <w:sz w:val="24"/>
        </w:rPr>
        <w:t>.</w:t>
      </w:r>
      <w:r>
        <w:rPr>
          <w:rFonts w:hint="eastAsia" w:asciiTheme="minorEastAsia" w:hAnsiTheme="minorEastAsia" w:eastAsiaTheme="minorEastAsia"/>
          <w:sz w:val="24"/>
        </w:rPr>
        <w:t>1采购人和采购代理机构将在</w:t>
      </w:r>
      <w:r>
        <w:rPr>
          <w:rFonts w:asciiTheme="minorEastAsia" w:hAnsiTheme="minorEastAsia" w:eastAsiaTheme="minorEastAsia"/>
          <w:sz w:val="24"/>
          <w:u w:val="single"/>
        </w:rPr>
        <w:t>供应商须知前附表</w:t>
      </w:r>
      <w:r>
        <w:rPr>
          <w:rFonts w:hint="eastAsia" w:asciiTheme="minorEastAsia" w:hAnsiTheme="minorEastAsia" w:eastAsiaTheme="minorEastAsia"/>
          <w:sz w:val="24"/>
        </w:rPr>
        <w:t>规定的时间和地点组织磋商。</w:t>
      </w:r>
    </w:p>
    <w:p w14:paraId="15C277F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19.2竞争性磋商活动采用综合评分法评审。</w:t>
      </w:r>
    </w:p>
    <w:p w14:paraId="15FD0E7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综合评分法，是指响应文件满足磋商文件全部实质性要求且按评审因素的量化指标评审得分最高的供应商为成交候选供应商的评审方法。</w:t>
      </w:r>
    </w:p>
    <w:p w14:paraId="1642813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19.3磋商小组将按照磋商文件规定的</w:t>
      </w:r>
      <w:r>
        <w:rPr>
          <w:rFonts w:asciiTheme="minorEastAsia" w:hAnsiTheme="minorEastAsia" w:eastAsiaTheme="minorEastAsia"/>
          <w:sz w:val="24"/>
        </w:rPr>
        <w:t>评审</w:t>
      </w:r>
      <w:r>
        <w:rPr>
          <w:rFonts w:hint="eastAsia" w:asciiTheme="minorEastAsia" w:hAnsiTheme="minorEastAsia" w:eastAsiaTheme="minorEastAsia"/>
          <w:sz w:val="24"/>
        </w:rPr>
        <w:t>方</w:t>
      </w:r>
      <w:r>
        <w:rPr>
          <w:rFonts w:asciiTheme="minorEastAsia" w:hAnsiTheme="minorEastAsia" w:eastAsiaTheme="minorEastAsia"/>
          <w:sz w:val="24"/>
        </w:rPr>
        <w:t>法</w:t>
      </w:r>
      <w:r>
        <w:rPr>
          <w:rFonts w:hint="eastAsia" w:asciiTheme="minorEastAsia" w:hAnsiTheme="minorEastAsia" w:eastAsiaTheme="minorEastAsia"/>
          <w:sz w:val="24"/>
        </w:rPr>
        <w:t>和标准对供应商独立进行评审。评审程序如下：</w:t>
      </w:r>
    </w:p>
    <w:p w14:paraId="01E5899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19.3.1</w:t>
      </w:r>
      <w:r>
        <w:rPr>
          <w:rFonts w:hint="eastAsia" w:asciiTheme="minorEastAsia" w:hAnsiTheme="minorEastAsia" w:eastAsiaTheme="minorEastAsia"/>
          <w:b/>
          <w:sz w:val="24"/>
        </w:rPr>
        <w:t>初审</w:t>
      </w:r>
      <w:r>
        <w:rPr>
          <w:rFonts w:hint="eastAsia" w:asciiTheme="minorEastAsia" w:hAnsiTheme="minorEastAsia" w:eastAsiaTheme="minorEastAsia"/>
          <w:sz w:val="24"/>
        </w:rPr>
        <w:t>。磋商小组对供应商必须满足和实质性响应的内容进行评审，供应商未实质性响应磋商文件要求导致响应无效的，磋商小组将以书面询标的方式告知有关供应商。</w:t>
      </w:r>
    </w:p>
    <w:p w14:paraId="59C0865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19.3.2</w:t>
      </w:r>
      <w:r>
        <w:rPr>
          <w:rFonts w:hint="eastAsia" w:asciiTheme="minorEastAsia" w:hAnsiTheme="minorEastAsia" w:eastAsiaTheme="minorEastAsia"/>
          <w:b/>
          <w:sz w:val="24"/>
        </w:rPr>
        <w:t>磋商</w:t>
      </w:r>
      <w:r>
        <w:rPr>
          <w:rFonts w:hint="eastAsia" w:asciiTheme="minorEastAsia" w:hAnsiTheme="minorEastAsia" w:eastAsiaTheme="minorEastAsia"/>
          <w:sz w:val="24"/>
        </w:rPr>
        <w:t>。初审合格后，磋商小组将按网上加密电子响应文件提交顺序集中与单一供应商分别进行磋商，并给予所有参加磋商的供应商平等的磋商机会。</w:t>
      </w:r>
    </w:p>
    <w:p w14:paraId="31EF0F1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19.3.3</w:t>
      </w:r>
      <w:r>
        <w:rPr>
          <w:rFonts w:asciiTheme="minorEastAsia" w:hAnsiTheme="minorEastAsia" w:eastAsiaTheme="minorEastAsia"/>
          <w:b/>
          <w:sz w:val="24"/>
        </w:rPr>
        <w:t>报价</w:t>
      </w:r>
      <w:r>
        <w:rPr>
          <w:rFonts w:hint="eastAsia" w:asciiTheme="minorEastAsia" w:hAnsiTheme="minorEastAsia" w:eastAsiaTheme="minorEastAsia"/>
          <w:sz w:val="24"/>
        </w:rPr>
        <w:t>。</w:t>
      </w:r>
      <w:r>
        <w:rPr>
          <w:rFonts w:asciiTheme="minorEastAsia" w:hAnsiTheme="minorEastAsia" w:eastAsiaTheme="minorEastAsia"/>
          <w:sz w:val="24"/>
        </w:rPr>
        <w:t>磋商结束后，磋商小组应当要求所有</w:t>
      </w:r>
      <w:r>
        <w:rPr>
          <w:rFonts w:hint="eastAsia" w:asciiTheme="minorEastAsia" w:hAnsiTheme="minorEastAsia" w:eastAsiaTheme="minorEastAsia"/>
          <w:sz w:val="24"/>
        </w:rPr>
        <w:t>实质性响应</w:t>
      </w:r>
      <w:r>
        <w:rPr>
          <w:rFonts w:asciiTheme="minorEastAsia" w:hAnsiTheme="minorEastAsia" w:eastAsiaTheme="minorEastAsia"/>
          <w:sz w:val="24"/>
        </w:rPr>
        <w:t>的供应商在规定时间内提交最后报价</w:t>
      </w:r>
      <w:r>
        <w:rPr>
          <w:rFonts w:hint="eastAsia" w:ascii="宋体" w:hAnsi="宋体" w:eastAsia="宋体"/>
          <w:sz w:val="24"/>
        </w:rPr>
        <w:t>。</w:t>
      </w:r>
    </w:p>
    <w:p w14:paraId="7D2CE84A">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19.3.4</w:t>
      </w:r>
      <w:r>
        <w:rPr>
          <w:rFonts w:hint="eastAsia" w:asciiTheme="minorEastAsia" w:hAnsiTheme="minorEastAsia" w:eastAsiaTheme="minorEastAsia"/>
          <w:b/>
          <w:sz w:val="24"/>
        </w:rPr>
        <w:t>综合评分</w:t>
      </w:r>
      <w:r>
        <w:rPr>
          <w:rFonts w:hint="eastAsia" w:asciiTheme="minorEastAsia" w:hAnsiTheme="minorEastAsia" w:eastAsiaTheme="minorEastAsia"/>
          <w:sz w:val="24"/>
        </w:rPr>
        <w:t>。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6BB76E33">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19.4相关说明。</w:t>
      </w:r>
    </w:p>
    <w:p w14:paraId="05C959B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19.4.1为保证磋商活动顺利进行，供应商可派相关技术人员进行网上答疑；</w:t>
      </w:r>
    </w:p>
    <w:p w14:paraId="73B2C11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19.4.2磋</w:t>
      </w:r>
      <w:r>
        <w:rPr>
          <w:rFonts w:asciiTheme="minorEastAsia" w:hAnsiTheme="minorEastAsia" w:eastAsiaTheme="minorEastAsia"/>
          <w:sz w:val="24"/>
        </w:rPr>
        <w:t>商小组根据与</w:t>
      </w:r>
      <w:r>
        <w:rPr>
          <w:rFonts w:hint="eastAsia" w:asciiTheme="minorEastAsia" w:hAnsiTheme="minorEastAsia" w:eastAsiaTheme="minorEastAsia"/>
          <w:sz w:val="24"/>
        </w:rPr>
        <w:t>供应商</w:t>
      </w:r>
      <w:r>
        <w:rPr>
          <w:rFonts w:asciiTheme="minorEastAsia" w:hAnsiTheme="minorEastAsia" w:eastAsiaTheme="minorEastAsia"/>
          <w:sz w:val="24"/>
        </w:rPr>
        <w:t>磋商情况可能实质性变动</w:t>
      </w:r>
      <w:r>
        <w:rPr>
          <w:rFonts w:hint="eastAsia" w:asciiTheme="minorEastAsia" w:hAnsiTheme="minorEastAsia" w:eastAsiaTheme="minorEastAsia"/>
          <w:sz w:val="24"/>
        </w:rPr>
        <w:t>磋商文件</w:t>
      </w:r>
      <w:r>
        <w:rPr>
          <w:rFonts w:asciiTheme="minorEastAsia" w:hAnsiTheme="minorEastAsia" w:eastAsiaTheme="minorEastAsia"/>
          <w:sz w:val="24"/>
        </w:rPr>
        <w:t>的内容，包括采购需求中的技术、服务要求以及合同草案条款。磋商文件有实质性变动的，</w:t>
      </w:r>
      <w:r>
        <w:rPr>
          <w:rFonts w:hint="eastAsia" w:asciiTheme="minorEastAsia" w:hAnsiTheme="minorEastAsia" w:eastAsiaTheme="minorEastAsia"/>
          <w:sz w:val="24"/>
        </w:rPr>
        <w:t>经采购人代表确认作为磋商文件的有效组成部分，</w:t>
      </w:r>
      <w:r>
        <w:rPr>
          <w:rFonts w:asciiTheme="minorEastAsia" w:hAnsiTheme="minorEastAsia" w:eastAsiaTheme="minorEastAsia"/>
          <w:sz w:val="24"/>
        </w:rPr>
        <w:t>磋商小组</w:t>
      </w:r>
      <w:r>
        <w:rPr>
          <w:rFonts w:hint="eastAsia" w:asciiTheme="minorEastAsia" w:hAnsiTheme="minorEastAsia" w:eastAsiaTheme="minorEastAsia"/>
          <w:sz w:val="24"/>
        </w:rPr>
        <w:t>将</w:t>
      </w:r>
      <w:r>
        <w:rPr>
          <w:rFonts w:asciiTheme="minorEastAsia" w:hAnsiTheme="minorEastAsia" w:eastAsiaTheme="minorEastAsia"/>
          <w:sz w:val="24"/>
        </w:rPr>
        <w:t>以书面形式通知所有参加磋商的供应商。</w:t>
      </w:r>
    </w:p>
    <w:p w14:paraId="01815B5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19.4.3磋商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315CF2BB">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19.4.4</w:t>
      </w:r>
      <w:r>
        <w:rPr>
          <w:rFonts w:asciiTheme="minorEastAsia" w:hAnsiTheme="minorEastAsia" w:eastAsiaTheme="minorEastAsia"/>
          <w:sz w:val="24"/>
        </w:rPr>
        <w:t>无论何种原因，即使供应商</w:t>
      </w:r>
      <w:r>
        <w:rPr>
          <w:rFonts w:hint="eastAsia" w:asciiTheme="minorEastAsia" w:hAnsiTheme="minorEastAsia" w:eastAsiaTheme="minorEastAsia"/>
          <w:sz w:val="24"/>
        </w:rPr>
        <w:t>磋商</w:t>
      </w:r>
      <w:r>
        <w:rPr>
          <w:rFonts w:asciiTheme="minorEastAsia" w:hAnsiTheme="minorEastAsia" w:eastAsiaTheme="minorEastAsia"/>
          <w:sz w:val="24"/>
        </w:rPr>
        <w:t>时携带了证书材料的原件，但响应文件中未提供与之内容完全一致的</w:t>
      </w:r>
      <w:r>
        <w:rPr>
          <w:rFonts w:hint="eastAsia" w:asciiTheme="minorEastAsia" w:hAnsiTheme="minorEastAsia" w:eastAsiaTheme="minorEastAsia"/>
          <w:sz w:val="24"/>
        </w:rPr>
        <w:t>扫描件</w:t>
      </w:r>
      <w:r>
        <w:rPr>
          <w:rFonts w:asciiTheme="minorEastAsia" w:hAnsiTheme="minorEastAsia" w:eastAsiaTheme="minorEastAsia"/>
          <w:sz w:val="24"/>
        </w:rPr>
        <w:t>的，</w:t>
      </w:r>
      <w:r>
        <w:rPr>
          <w:rFonts w:hint="eastAsia" w:asciiTheme="minorEastAsia" w:hAnsiTheme="minorEastAsia" w:eastAsiaTheme="minorEastAsia"/>
          <w:sz w:val="24"/>
        </w:rPr>
        <w:t>磋商</w:t>
      </w:r>
      <w:r>
        <w:rPr>
          <w:rFonts w:asciiTheme="minorEastAsia" w:hAnsiTheme="minorEastAsia" w:eastAsiaTheme="minorEastAsia"/>
          <w:sz w:val="24"/>
        </w:rPr>
        <w:t>小组可以视同其未提供。</w:t>
      </w:r>
    </w:p>
    <w:p w14:paraId="64550AD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19.4.5磋商</w:t>
      </w:r>
      <w:r>
        <w:rPr>
          <w:rFonts w:asciiTheme="minorEastAsia" w:hAnsiTheme="minorEastAsia" w:eastAsiaTheme="minorEastAsia"/>
          <w:sz w:val="24"/>
        </w:rPr>
        <w:t>小组决定响应文件的响应性及符合性只根据响应文件本身的内容，而不寻求其他外部证据。</w:t>
      </w:r>
    </w:p>
    <w:p w14:paraId="59DAD37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供应商</w:t>
      </w:r>
      <w:r>
        <w:rPr>
          <w:rFonts w:hint="eastAsia" w:asciiTheme="minorEastAsia" w:hAnsiTheme="minorEastAsia" w:eastAsiaTheme="minorEastAsia"/>
          <w:sz w:val="24"/>
        </w:rPr>
        <w:t>授权</w:t>
      </w:r>
      <w:r>
        <w:rPr>
          <w:rFonts w:asciiTheme="minorEastAsia" w:hAnsiTheme="minorEastAsia" w:eastAsiaTheme="minorEastAsia"/>
          <w:sz w:val="24"/>
        </w:rPr>
        <w:t>代表对</w:t>
      </w:r>
      <w:r>
        <w:rPr>
          <w:rFonts w:hint="eastAsia" w:asciiTheme="minorEastAsia" w:hAnsiTheme="minorEastAsia" w:eastAsiaTheme="minorEastAsia"/>
          <w:sz w:val="24"/>
        </w:rPr>
        <w:t>磋商过程</w:t>
      </w:r>
      <w:r>
        <w:rPr>
          <w:rFonts w:asciiTheme="minorEastAsia" w:hAnsiTheme="minorEastAsia" w:eastAsiaTheme="minorEastAsia"/>
          <w:sz w:val="24"/>
        </w:rPr>
        <w:t>有疑义，以及认为采购人、采购代理机构相关工作人员有需要回避的情形的，应当场提出询问或者回避申请</w:t>
      </w:r>
      <w:r>
        <w:rPr>
          <w:rFonts w:hint="eastAsia" w:asciiTheme="minorEastAsia" w:hAnsiTheme="minorEastAsia" w:eastAsiaTheme="minorEastAsia"/>
          <w:sz w:val="24"/>
        </w:rPr>
        <w:t>，并说明理由。</w:t>
      </w:r>
    </w:p>
    <w:p w14:paraId="5B50EB11">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.终止竞争性磋商</w:t>
      </w:r>
    </w:p>
    <w:p w14:paraId="4C2D7081">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20.1出现下列情况之一时，采购人和采购代理机构有权宣布终止竞争性磋商采购，并将理由通知所有供应商：</w:t>
      </w:r>
    </w:p>
    <w:p w14:paraId="21D63A2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（1）有效供应商数量不足</w:t>
      </w:r>
      <w:r>
        <w:rPr>
          <w:rFonts w:hint="eastAsia" w:asciiTheme="minorEastAsia" w:hAnsiTheme="minorEastAsia" w:eastAsiaTheme="minorEastAsia"/>
          <w:sz w:val="24"/>
          <w:lang w:val="en-US" w:eastAsia="zh-CN"/>
        </w:rPr>
        <w:t>规定数量</w:t>
      </w:r>
      <w:r>
        <w:rPr>
          <w:rFonts w:hint="eastAsia" w:asciiTheme="minorEastAsia" w:hAnsiTheme="minorEastAsia" w:eastAsiaTheme="minorEastAsia"/>
          <w:sz w:val="24"/>
        </w:rPr>
        <w:t>，导致本次磋商缺乏竞争的；</w:t>
      </w:r>
    </w:p>
    <w:p w14:paraId="6FE98D2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14:paraId="747D470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（3）因重大变故，采购任务取消的；</w:t>
      </w:r>
    </w:p>
    <w:p w14:paraId="2616CB1F">
      <w:pPr>
        <w:spacing w:line="360" w:lineRule="auto"/>
        <w:ind w:firstLine="435"/>
        <w:rPr>
          <w:rFonts w:hint="eastAsia" w:asciiTheme="minorEastAsia" w:hAnsiTheme="minorEastAsia" w:eastAsiaTheme="minorEastAsia"/>
          <w:sz w:val="24"/>
        </w:rPr>
      </w:pPr>
      <w:r>
        <w:rPr>
          <w:rFonts w:hint="eastAsia" w:asciiTheme="minorEastAsia" w:hAnsiTheme="minorEastAsia" w:eastAsiaTheme="minorEastAsia"/>
          <w:sz w:val="24"/>
        </w:rPr>
        <w:t>（4）法律法规规定的其他情形。</w:t>
      </w:r>
    </w:p>
    <w:p w14:paraId="30EE9D49">
      <w:pPr>
        <w:spacing w:line="360" w:lineRule="auto"/>
        <w:ind w:firstLine="435"/>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20.2规定数量约定：</w:t>
      </w:r>
    </w:p>
    <w:p w14:paraId="117FE3D3">
      <w:pPr>
        <w:numPr>
          <w:ilvl w:val="-1"/>
          <w:numId w:val="0"/>
        </w:num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20.2.1</w:t>
      </w:r>
      <w:r>
        <w:rPr>
          <w:rFonts w:hint="eastAsia" w:asciiTheme="minorEastAsia" w:hAnsiTheme="minorEastAsia" w:eastAsiaTheme="minorEastAsia"/>
          <w:sz w:val="24"/>
          <w:highlight w:val="none"/>
        </w:rPr>
        <w:t>有效供应商</w:t>
      </w:r>
      <w:r>
        <w:rPr>
          <w:rFonts w:hint="eastAsia" w:asciiTheme="minorEastAsia" w:hAnsiTheme="minorEastAsia" w:eastAsiaTheme="minorEastAsia"/>
          <w:sz w:val="24"/>
          <w:highlight w:val="none"/>
          <w:lang w:eastAsia="zh-CN"/>
        </w:rPr>
        <w:t>满足</w:t>
      </w:r>
      <w:r>
        <w:rPr>
          <w:rFonts w:hint="eastAsia" w:asciiTheme="minorEastAsia" w:hAnsiTheme="minorEastAsia" w:eastAsiaTheme="minorEastAsia"/>
          <w:sz w:val="24"/>
          <w:highlight w:val="none"/>
          <w:lang w:val="en-US" w:eastAsia="zh-CN"/>
        </w:rPr>
        <w:t>3家，符合规定数量；</w:t>
      </w:r>
    </w:p>
    <w:p w14:paraId="5062018F">
      <w:pPr>
        <w:numPr>
          <w:ilvl w:val="-1"/>
          <w:numId w:val="0"/>
        </w:numPr>
        <w:spacing w:line="360" w:lineRule="auto"/>
        <w:ind w:firstLine="480" w:firstLineChars="200"/>
        <w:rPr>
          <w:rFonts w:hint="eastAsia" w:asciiTheme="minorEastAsia" w:hAnsiTheme="minorEastAsia" w:eastAsiaTheme="minorEastAsia"/>
          <w:sz w:val="24"/>
          <w:highlight w:val="none"/>
          <w:lang w:val="en-US" w:eastAsia="zh-CN"/>
        </w:rPr>
      </w:pPr>
      <w:r>
        <w:rPr>
          <w:rFonts w:hint="eastAsia" w:asciiTheme="minorEastAsia" w:hAnsiTheme="minorEastAsia" w:eastAsiaTheme="minorEastAsia"/>
          <w:sz w:val="24"/>
          <w:highlight w:val="none"/>
          <w:lang w:val="en-US" w:eastAsia="zh-CN"/>
        </w:rPr>
        <w:t>20.2.2响应文件提交</w:t>
      </w:r>
      <w:r>
        <w:rPr>
          <w:rFonts w:hint="eastAsia" w:asciiTheme="minorEastAsia" w:hAnsiTheme="minorEastAsia" w:eastAsiaTheme="minorEastAsia"/>
          <w:sz w:val="24"/>
          <w:highlight w:val="none"/>
        </w:rPr>
        <w:t>截止</w:t>
      </w:r>
      <w:r>
        <w:rPr>
          <w:rFonts w:hint="eastAsia" w:asciiTheme="minorEastAsia" w:hAnsiTheme="minorEastAsia" w:eastAsiaTheme="minorEastAsia"/>
          <w:sz w:val="24"/>
          <w:highlight w:val="none"/>
          <w:lang w:val="en-US" w:eastAsia="zh-CN"/>
        </w:rPr>
        <w:t>时间</w:t>
      </w:r>
      <w:r>
        <w:rPr>
          <w:rFonts w:hint="eastAsia" w:asciiTheme="minorEastAsia" w:hAnsiTheme="minorEastAsia" w:eastAsiaTheme="minorEastAsia"/>
          <w:sz w:val="24"/>
          <w:highlight w:val="none"/>
        </w:rPr>
        <w:t>后</w:t>
      </w:r>
      <w:r>
        <w:rPr>
          <w:rFonts w:hint="eastAsia" w:asciiTheme="minorEastAsia" w:hAnsiTheme="minorEastAsia" w:eastAsiaTheme="minorEastAsia"/>
          <w:sz w:val="24"/>
          <w:highlight w:val="none"/>
          <w:lang w:val="en-US" w:eastAsia="zh-CN"/>
        </w:rPr>
        <w:t>供应商2</w:t>
      </w:r>
      <w:r>
        <w:rPr>
          <w:rFonts w:hint="eastAsia" w:asciiTheme="minorEastAsia" w:hAnsiTheme="minorEastAsia" w:eastAsiaTheme="minorEastAsia"/>
          <w:sz w:val="24"/>
          <w:highlight w:val="none"/>
        </w:rPr>
        <w:t>家或者通过</w:t>
      </w:r>
      <w:r>
        <w:rPr>
          <w:rFonts w:hint="eastAsia" w:asciiTheme="minorEastAsia" w:hAnsiTheme="minorEastAsia" w:eastAsiaTheme="minorEastAsia"/>
          <w:sz w:val="24"/>
          <w:highlight w:val="none"/>
          <w:lang w:val="en-US" w:eastAsia="zh-CN"/>
        </w:rPr>
        <w:t>初审</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供应商2</w:t>
      </w:r>
      <w:r>
        <w:rPr>
          <w:rFonts w:hint="eastAsia" w:asciiTheme="minorEastAsia" w:hAnsiTheme="minorEastAsia" w:eastAsiaTheme="minorEastAsia"/>
          <w:sz w:val="24"/>
          <w:highlight w:val="none"/>
        </w:rPr>
        <w:t>家的</w:t>
      </w:r>
      <w:r>
        <w:rPr>
          <w:rFonts w:hint="eastAsia" w:asciiTheme="minorEastAsia" w:hAnsiTheme="minorEastAsia" w:eastAsiaTheme="minorEastAsia"/>
          <w:sz w:val="24"/>
          <w:highlight w:val="none"/>
          <w:lang w:eastAsia="zh-CN"/>
        </w:rPr>
        <w:t>，经</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lang w:eastAsia="zh-CN"/>
        </w:rPr>
        <w:t>和采购人确认可继续进行的，视为符合规定数量；</w:t>
      </w:r>
    </w:p>
    <w:p w14:paraId="4BA6A361">
      <w:pPr>
        <w:numPr>
          <w:ilvl w:val="-1"/>
          <w:numId w:val="0"/>
        </w:numPr>
        <w:spacing w:line="360" w:lineRule="auto"/>
        <w:ind w:firstLine="480" w:firstLineChars="200"/>
        <w:rPr>
          <w:rFonts w:hint="eastAsia" w:asciiTheme="minorEastAsia" w:hAnsiTheme="minorEastAsia" w:eastAsiaTheme="minorEastAsia"/>
          <w:sz w:val="24"/>
          <w:highlight w:val="none"/>
        </w:rPr>
      </w:pPr>
      <w:r>
        <w:rPr>
          <w:rFonts w:hint="eastAsia" w:asciiTheme="minorEastAsia" w:hAnsiTheme="minorEastAsia" w:eastAsiaTheme="minorEastAsia"/>
          <w:sz w:val="24"/>
          <w:highlight w:val="none"/>
          <w:lang w:val="en-US" w:eastAsia="zh-CN"/>
        </w:rPr>
        <w:t>20.2.3响应文件提交</w:t>
      </w:r>
      <w:r>
        <w:rPr>
          <w:rFonts w:hint="eastAsia" w:asciiTheme="minorEastAsia" w:hAnsiTheme="minorEastAsia" w:eastAsiaTheme="minorEastAsia"/>
          <w:sz w:val="24"/>
          <w:highlight w:val="none"/>
        </w:rPr>
        <w:t>截止</w:t>
      </w:r>
      <w:r>
        <w:rPr>
          <w:rFonts w:hint="eastAsia" w:asciiTheme="minorEastAsia" w:hAnsiTheme="minorEastAsia" w:eastAsiaTheme="minorEastAsia"/>
          <w:sz w:val="24"/>
          <w:highlight w:val="none"/>
          <w:lang w:val="en-US" w:eastAsia="zh-CN"/>
        </w:rPr>
        <w:t>时间</w:t>
      </w:r>
      <w:r>
        <w:rPr>
          <w:rFonts w:hint="eastAsia" w:asciiTheme="minorEastAsia" w:hAnsiTheme="minorEastAsia" w:eastAsiaTheme="minorEastAsia"/>
          <w:sz w:val="24"/>
          <w:highlight w:val="none"/>
        </w:rPr>
        <w:t>后</w:t>
      </w:r>
      <w:r>
        <w:rPr>
          <w:rFonts w:hint="eastAsia" w:asciiTheme="minorEastAsia" w:hAnsiTheme="minorEastAsia" w:eastAsiaTheme="minorEastAsia"/>
          <w:sz w:val="24"/>
          <w:highlight w:val="none"/>
          <w:lang w:val="en-US" w:eastAsia="zh-CN"/>
        </w:rPr>
        <w:t>供应商1</w:t>
      </w:r>
      <w:r>
        <w:rPr>
          <w:rFonts w:hint="eastAsia" w:asciiTheme="minorEastAsia" w:hAnsiTheme="minorEastAsia" w:eastAsiaTheme="minorEastAsia"/>
          <w:sz w:val="24"/>
          <w:highlight w:val="none"/>
        </w:rPr>
        <w:t>家或者通过</w:t>
      </w:r>
      <w:r>
        <w:rPr>
          <w:rFonts w:hint="eastAsia" w:asciiTheme="minorEastAsia" w:hAnsiTheme="minorEastAsia" w:eastAsiaTheme="minorEastAsia"/>
          <w:sz w:val="24"/>
          <w:highlight w:val="none"/>
          <w:lang w:val="en-US" w:eastAsia="zh-CN"/>
        </w:rPr>
        <w:t>初审</w:t>
      </w:r>
      <w:r>
        <w:rPr>
          <w:rFonts w:hint="eastAsia" w:asciiTheme="minorEastAsia" w:hAnsiTheme="minorEastAsia" w:eastAsiaTheme="minorEastAsia"/>
          <w:sz w:val="24"/>
          <w:highlight w:val="none"/>
        </w:rPr>
        <w:t>的</w:t>
      </w:r>
      <w:r>
        <w:rPr>
          <w:rFonts w:hint="eastAsia" w:asciiTheme="minorEastAsia" w:hAnsiTheme="minorEastAsia" w:eastAsiaTheme="minorEastAsia"/>
          <w:sz w:val="24"/>
          <w:highlight w:val="none"/>
          <w:lang w:val="en-US" w:eastAsia="zh-CN"/>
        </w:rPr>
        <w:t>供应商1</w:t>
      </w:r>
      <w:r>
        <w:rPr>
          <w:rFonts w:hint="eastAsia" w:asciiTheme="minorEastAsia" w:hAnsiTheme="minorEastAsia" w:eastAsiaTheme="minorEastAsia"/>
          <w:sz w:val="24"/>
          <w:highlight w:val="none"/>
        </w:rPr>
        <w:t>家的</w:t>
      </w:r>
      <w:r>
        <w:rPr>
          <w:rFonts w:hint="eastAsia" w:asciiTheme="minorEastAsia" w:hAnsiTheme="minorEastAsia" w:eastAsiaTheme="minorEastAsia"/>
          <w:sz w:val="24"/>
          <w:highlight w:val="none"/>
          <w:lang w:eastAsia="zh-CN"/>
        </w:rPr>
        <w:t>，经</w:t>
      </w:r>
      <w:r>
        <w:rPr>
          <w:rFonts w:hint="eastAsia" w:asciiTheme="minorEastAsia" w:hAnsiTheme="minorEastAsia" w:eastAsiaTheme="minorEastAsia"/>
          <w:sz w:val="24"/>
          <w:highlight w:val="none"/>
          <w:lang w:val="en-US" w:eastAsia="zh-CN"/>
        </w:rPr>
        <w:t>供应商</w:t>
      </w:r>
      <w:r>
        <w:rPr>
          <w:rFonts w:hint="eastAsia" w:asciiTheme="minorEastAsia" w:hAnsiTheme="minorEastAsia" w:eastAsiaTheme="minorEastAsia"/>
          <w:sz w:val="24"/>
          <w:highlight w:val="none"/>
          <w:lang w:eastAsia="zh-CN"/>
        </w:rPr>
        <w:t>和采购人确认可继续进行的，视为符合规定数量。</w:t>
      </w:r>
    </w:p>
    <w:p w14:paraId="374D998A">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1</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0ED898E7">
      <w:pPr>
        <w:spacing w:line="360" w:lineRule="auto"/>
        <w:ind w:firstLine="470" w:firstLineChars="196"/>
        <w:rPr>
          <w:rFonts w:ascii="宋体" w:hAnsi="宋体" w:eastAsia="宋体"/>
          <w:sz w:val="24"/>
        </w:rPr>
      </w:pPr>
      <w:r>
        <w:rPr>
          <w:rFonts w:ascii="宋体" w:hAnsi="宋体" w:eastAsia="宋体"/>
          <w:sz w:val="24"/>
        </w:rPr>
        <w:t>2</w:t>
      </w:r>
      <w:r>
        <w:rPr>
          <w:rFonts w:hint="eastAsia" w:ascii="宋体" w:hAnsi="宋体" w:eastAsia="宋体"/>
          <w:sz w:val="24"/>
        </w:rPr>
        <w:t>1.1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36B6E50">
      <w:pPr>
        <w:spacing w:line="360" w:lineRule="auto"/>
        <w:ind w:firstLine="470" w:firstLineChars="196"/>
        <w:rPr>
          <w:rFonts w:ascii="宋体" w:hAnsi="宋体" w:eastAsia="宋体"/>
          <w:sz w:val="24"/>
        </w:rPr>
      </w:pPr>
      <w:r>
        <w:rPr>
          <w:rFonts w:ascii="宋体" w:hAnsi="宋体" w:eastAsia="宋体"/>
          <w:sz w:val="24"/>
        </w:rPr>
        <w:t>2</w:t>
      </w:r>
      <w:r>
        <w:rPr>
          <w:rFonts w:hint="eastAsia" w:ascii="宋体" w:hAnsi="宋体" w:eastAsia="宋体"/>
          <w:sz w:val="24"/>
        </w:rPr>
        <w:t>1.2磋商小组要求供应商澄清、说明或者更正响应文件应当以书面形式（询标）作出。供应商的澄清、说明或者更正应当由法定代表人或其授权代表签字或者加盖公章。</w:t>
      </w:r>
    </w:p>
    <w:p w14:paraId="110C8985">
      <w:pPr>
        <w:spacing w:line="360" w:lineRule="auto"/>
        <w:ind w:firstLine="435"/>
        <w:rPr>
          <w:rFonts w:ascii="宋体" w:hAnsi="宋体" w:eastAsia="宋体"/>
          <w:sz w:val="24"/>
        </w:rPr>
      </w:pPr>
      <w:r>
        <w:rPr>
          <w:rFonts w:hint="eastAsia" w:ascii="宋体" w:hAnsi="宋体" w:eastAsia="宋体"/>
          <w:b/>
          <w:sz w:val="24"/>
        </w:rPr>
        <w:t>如有询标，授权代表（或法定代表人）可通过远程登录的方式接受网上询标，也可凭本人有效身份证明参加询标。因授权代表联系不上</w:t>
      </w:r>
      <w:r>
        <w:rPr>
          <w:rFonts w:hint="eastAsia" w:ascii="宋体" w:hAnsi="宋体" w:eastAsia="宋体"/>
          <w:b/>
          <w:bCs/>
          <w:sz w:val="24"/>
        </w:rPr>
        <w:t>、没有及时登录系统等情形</w:t>
      </w:r>
      <w:r>
        <w:rPr>
          <w:rFonts w:hint="eastAsia" w:ascii="宋体" w:hAnsi="宋体" w:eastAsia="宋体"/>
          <w:b/>
          <w:sz w:val="24"/>
        </w:rPr>
        <w:t>而无法接受磋商小组询标的，供应商自行承担相关风险。</w:t>
      </w:r>
    </w:p>
    <w:p w14:paraId="0D3FD644">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2</w:t>
      </w:r>
      <w:r>
        <w:rPr>
          <w:rFonts w:asciiTheme="minorEastAsia" w:hAnsiTheme="minorEastAsia" w:eastAsiaTheme="minorEastAsia"/>
          <w:b/>
          <w:sz w:val="24"/>
        </w:rPr>
        <w:t>.最后报价</w:t>
      </w:r>
    </w:p>
    <w:p w14:paraId="275B33B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22.1</w:t>
      </w:r>
      <w:r>
        <w:rPr>
          <w:rFonts w:asciiTheme="minorEastAsia" w:hAnsiTheme="minorEastAsia" w:eastAsiaTheme="minorEastAsia"/>
          <w:sz w:val="24"/>
        </w:rPr>
        <w:t>磋商并不限定只进行二轮报价，如果磋商小组认为有必要，可以要求供应商进行多轮报价。</w:t>
      </w:r>
    </w:p>
    <w:p w14:paraId="6ADB403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22.2</w:t>
      </w:r>
      <w:r>
        <w:rPr>
          <w:rFonts w:asciiTheme="minorEastAsia" w:hAnsiTheme="minorEastAsia" w:eastAsiaTheme="minorEastAsia"/>
          <w:sz w:val="24"/>
        </w:rPr>
        <w:t>在磋商内容不做实质性变更或重大调整的前提下，供应商下轮报价不得高于上一轮报价</w:t>
      </w:r>
      <w:r>
        <w:rPr>
          <w:rFonts w:hint="eastAsia" w:asciiTheme="minorEastAsia" w:hAnsiTheme="minorEastAsia" w:eastAsiaTheme="minorEastAsia"/>
          <w:sz w:val="24"/>
        </w:rPr>
        <w:t>。</w:t>
      </w:r>
    </w:p>
    <w:p w14:paraId="0819291D">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22.3</w:t>
      </w:r>
      <w:r>
        <w:rPr>
          <w:rFonts w:asciiTheme="minorEastAsia" w:hAnsiTheme="minorEastAsia" w:eastAsiaTheme="minorEastAsia"/>
          <w:sz w:val="24"/>
        </w:rPr>
        <w:t>最后报价是供应商响应文件的有效组成部分，最后报价也是签订合同的依据。</w:t>
      </w:r>
    </w:p>
    <w:p w14:paraId="0D0362BB">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23.</w:t>
      </w:r>
      <w:r>
        <w:rPr>
          <w:rFonts w:hint="eastAsia" w:asciiTheme="minorEastAsia" w:hAnsiTheme="minorEastAsia" w:eastAsiaTheme="minorEastAsia"/>
          <w:b/>
          <w:sz w:val="24"/>
        </w:rPr>
        <w:t>成交候选供应商的推荐原则及标准</w:t>
      </w:r>
    </w:p>
    <w:p w14:paraId="3EB4BC49">
      <w:pPr>
        <w:spacing w:line="360" w:lineRule="auto"/>
        <w:ind w:firstLine="435"/>
        <w:rPr>
          <w:rFonts w:hint="eastAsia" w:ascii="宋体" w:hAnsi="宋体" w:eastAsia="宋体"/>
          <w:sz w:val="24"/>
          <w:lang w:eastAsia="zh-CN"/>
        </w:rPr>
      </w:pPr>
      <w:r>
        <w:rPr>
          <w:rFonts w:asciiTheme="minorEastAsia" w:hAnsiTheme="minorEastAsia" w:eastAsiaTheme="minorEastAsia"/>
          <w:sz w:val="24"/>
        </w:rPr>
        <w:t>2</w:t>
      </w: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1</w:t>
      </w:r>
      <w:r>
        <w:rPr>
          <w:rFonts w:ascii="宋体" w:hAnsi="宋体" w:eastAsia="宋体"/>
          <w:sz w:val="24"/>
        </w:rPr>
        <w:t>评审后得分最高的</w:t>
      </w:r>
      <w:r>
        <w:rPr>
          <w:rFonts w:hint="eastAsia" w:ascii="宋体" w:hAnsi="宋体" w:eastAsia="宋体"/>
          <w:sz w:val="24"/>
        </w:rPr>
        <w:t>供应商</w:t>
      </w:r>
      <w:r>
        <w:rPr>
          <w:rFonts w:ascii="宋体" w:hAnsi="宋体" w:eastAsia="宋体"/>
          <w:sz w:val="24"/>
        </w:rPr>
        <w:t>获得</w:t>
      </w:r>
      <w:r>
        <w:rPr>
          <w:rFonts w:hint="eastAsia" w:ascii="宋体" w:hAnsi="宋体" w:eastAsia="宋体"/>
          <w:sz w:val="24"/>
        </w:rPr>
        <w:t>成交</w:t>
      </w:r>
      <w:r>
        <w:rPr>
          <w:rFonts w:ascii="宋体" w:hAnsi="宋体" w:eastAsia="宋体"/>
          <w:sz w:val="24"/>
        </w:rPr>
        <w:t>候选</w:t>
      </w:r>
      <w:r>
        <w:rPr>
          <w:rFonts w:hint="eastAsia" w:ascii="宋体" w:hAnsi="宋体" w:eastAsia="宋体"/>
          <w:sz w:val="24"/>
        </w:rPr>
        <w:t>供应商</w:t>
      </w:r>
      <w:r>
        <w:rPr>
          <w:rFonts w:ascii="宋体" w:hAnsi="宋体" w:eastAsia="宋体"/>
          <w:sz w:val="24"/>
        </w:rPr>
        <w:t>推荐资格；评审得分相同的，</w:t>
      </w:r>
      <w:r>
        <w:rPr>
          <w:rFonts w:hint="eastAsia" w:ascii="宋体" w:hAnsi="宋体" w:eastAsia="宋体"/>
          <w:sz w:val="24"/>
        </w:rPr>
        <w:t>则由采购人确定</w:t>
      </w:r>
      <w:r>
        <w:rPr>
          <w:rFonts w:hint="eastAsia" w:ascii="宋体" w:hAnsi="宋体" w:eastAsia="宋体"/>
          <w:sz w:val="24"/>
          <w:lang w:val="en-US" w:eastAsia="zh-CN"/>
        </w:rPr>
        <w:t>成交</w:t>
      </w:r>
      <w:r>
        <w:rPr>
          <w:rFonts w:hint="eastAsia" w:ascii="宋体" w:hAnsi="宋体" w:eastAsia="宋体"/>
          <w:sz w:val="24"/>
        </w:rPr>
        <w:t>候选顺序</w:t>
      </w:r>
      <w:r>
        <w:rPr>
          <w:rFonts w:hint="eastAsia" w:ascii="宋体" w:hAnsi="宋体" w:eastAsia="宋体"/>
          <w:sz w:val="24"/>
          <w:lang w:eastAsia="zh-CN"/>
        </w:rPr>
        <w:t>。</w:t>
      </w:r>
    </w:p>
    <w:p w14:paraId="2616149E">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23.</w:t>
      </w:r>
      <w:r>
        <w:rPr>
          <w:rFonts w:hint="eastAsia" w:asciiTheme="minorEastAsia" w:hAnsiTheme="minorEastAsia" w:eastAsiaTheme="minorEastAsia"/>
          <w:sz w:val="24"/>
          <w:lang w:val="en-US" w:eastAsia="zh-CN"/>
        </w:rPr>
        <w:t>2</w:t>
      </w:r>
      <w:r>
        <w:rPr>
          <w:rFonts w:hint="eastAsia" w:asciiTheme="minorEastAsia" w:hAnsiTheme="minorEastAsia" w:eastAsiaTheme="minorEastAsia"/>
          <w:sz w:val="24"/>
        </w:rPr>
        <w:t>磋商小组</w:t>
      </w:r>
      <w:r>
        <w:rPr>
          <w:rFonts w:asciiTheme="minorEastAsia" w:hAnsiTheme="minorEastAsia" w:eastAsiaTheme="minorEastAsia"/>
          <w:sz w:val="24"/>
        </w:rPr>
        <w:t>依据本项目</w:t>
      </w:r>
      <w:r>
        <w:rPr>
          <w:rFonts w:hint="eastAsia" w:asciiTheme="minorEastAsia" w:hAnsiTheme="minorEastAsia" w:eastAsiaTheme="minorEastAsia"/>
          <w:sz w:val="24"/>
        </w:rPr>
        <w:t>磋商</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按照有效供应商综合总得分由高到低依次推荐成交候选供应商。</w:t>
      </w:r>
    </w:p>
    <w:p w14:paraId="5BFF238C">
      <w:pPr>
        <w:spacing w:line="360" w:lineRule="auto"/>
        <w:ind w:firstLine="435"/>
        <w:rPr>
          <w:rFonts w:hint="eastAsia" w:asciiTheme="minorEastAsia" w:hAnsiTheme="minorEastAsia" w:eastAsiaTheme="minorEastAsia"/>
          <w:sz w:val="24"/>
          <w:lang w:eastAsia="zh-CN"/>
        </w:rPr>
      </w:pPr>
      <w:r>
        <w:rPr>
          <w:rFonts w:hint="eastAsia" w:asciiTheme="minorEastAsia" w:hAnsiTheme="minorEastAsia" w:eastAsiaTheme="minorEastAsia"/>
          <w:sz w:val="24"/>
        </w:rPr>
        <w:t>综合总得分出现两家或两家以上相同者，</w:t>
      </w:r>
      <w:r>
        <w:rPr>
          <w:rFonts w:hint="eastAsia" w:ascii="宋体" w:hAnsi="宋体" w:eastAsia="宋体"/>
          <w:sz w:val="24"/>
        </w:rPr>
        <w:t>由采购人确定</w:t>
      </w:r>
      <w:r>
        <w:rPr>
          <w:rFonts w:hint="eastAsia" w:ascii="宋体" w:hAnsi="宋体" w:eastAsia="宋体"/>
          <w:sz w:val="24"/>
          <w:lang w:val="en-US" w:eastAsia="zh-CN"/>
        </w:rPr>
        <w:t>成交供应商</w:t>
      </w:r>
      <w:r>
        <w:rPr>
          <w:rFonts w:hint="eastAsia" w:ascii="宋体" w:hAnsi="宋体" w:eastAsia="宋体"/>
          <w:sz w:val="24"/>
          <w:lang w:eastAsia="zh-CN"/>
        </w:rPr>
        <w:t>。</w:t>
      </w:r>
    </w:p>
    <w:p w14:paraId="168A2F70">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确定成交候选供应商和成交供应商</w:t>
      </w:r>
    </w:p>
    <w:p w14:paraId="6A740B57">
      <w:pPr>
        <w:spacing w:line="360" w:lineRule="auto"/>
        <w:ind w:firstLine="470" w:firstLineChars="196"/>
        <w:rPr>
          <w:rFonts w:ascii="宋体" w:hAnsi="宋体" w:eastAsia="宋体"/>
          <w:sz w:val="24"/>
        </w:rPr>
      </w:pPr>
      <w:r>
        <w:rPr>
          <w:rFonts w:hint="eastAsia" w:ascii="宋体" w:hAnsi="宋体" w:eastAsia="宋体"/>
          <w:sz w:val="24"/>
        </w:rPr>
        <w:t>24.1磋商小组根据综合评分的结果和</w:t>
      </w:r>
      <w:r>
        <w:rPr>
          <w:rFonts w:hint="eastAsia" w:asciiTheme="minorEastAsia" w:hAnsiTheme="minorEastAsia" w:eastAsiaTheme="minorEastAsia"/>
          <w:sz w:val="24"/>
        </w:rPr>
        <w:t>供应商</w:t>
      </w:r>
      <w:r>
        <w:rPr>
          <w:rFonts w:asciiTheme="minorEastAsia" w:hAnsiTheme="minorEastAsia" w:eastAsiaTheme="minorEastAsia"/>
          <w:sz w:val="24"/>
        </w:rPr>
        <w:t>须知前附表中规定</w:t>
      </w:r>
      <w:r>
        <w:rPr>
          <w:rFonts w:hint="eastAsia" w:ascii="宋体" w:hAnsi="宋体" w:eastAsia="宋体"/>
          <w:sz w:val="24"/>
        </w:rPr>
        <w:t>确定成交候选供应商，并标明排列顺序。排名第一的成交候选供应商经采购人或采购人授权的磋商小组确定为成交供应商后，由</w:t>
      </w:r>
      <w:r>
        <w:rPr>
          <w:rFonts w:asciiTheme="minorEastAsia" w:hAnsiTheme="minorEastAsia" w:eastAsiaTheme="minorEastAsia"/>
          <w:sz w:val="24"/>
        </w:rPr>
        <w:t>采购代理机构</w:t>
      </w:r>
      <w:r>
        <w:rPr>
          <w:rFonts w:hint="eastAsia" w:ascii="宋体" w:hAnsi="宋体" w:eastAsia="宋体"/>
          <w:sz w:val="24"/>
        </w:rPr>
        <w:t>在指定媒体上予以公告。</w:t>
      </w:r>
    </w:p>
    <w:p w14:paraId="302DED6F">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5</w:t>
      </w:r>
      <w:r>
        <w:rPr>
          <w:rFonts w:asciiTheme="minorEastAsia" w:hAnsiTheme="minorEastAsia" w:eastAsiaTheme="minorEastAsia"/>
          <w:b/>
          <w:sz w:val="24"/>
        </w:rPr>
        <w:t>.编写评审报告</w:t>
      </w:r>
    </w:p>
    <w:p w14:paraId="0226352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25.1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0C09F073">
      <w:pPr>
        <w:spacing w:line="360" w:lineRule="auto"/>
        <w:ind w:firstLine="437"/>
        <w:outlineLvl w:val="2"/>
        <w:rPr>
          <w:rFonts w:asciiTheme="minorEastAsia" w:hAnsiTheme="minorEastAsia" w:eastAsiaTheme="minorEastAsia"/>
          <w:b/>
          <w:sz w:val="24"/>
        </w:rPr>
      </w:pPr>
      <w:r>
        <w:rPr>
          <w:rFonts w:hint="eastAsia" w:asciiTheme="minorEastAsia" w:hAnsiTheme="minorEastAsia" w:eastAsiaTheme="minorEastAsia"/>
          <w:b/>
          <w:sz w:val="24"/>
        </w:rPr>
        <w:t>26</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45886E59">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6.1评审将在严格保密的情况下进行。</w:t>
      </w:r>
    </w:p>
    <w:p w14:paraId="289E9044">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6.2有关人员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rPr>
        <w:t>评审</w:t>
      </w:r>
      <w:r>
        <w:rPr>
          <w:rFonts w:ascii="宋体" w:hAnsi="宋体" w:eastAsia="宋体"/>
          <w:sz w:val="24"/>
        </w:rPr>
        <w:t>工作纪律，不得</w:t>
      </w:r>
      <w:r>
        <w:rPr>
          <w:rFonts w:hint="eastAsia" w:ascii="宋体" w:hAnsi="宋体" w:eastAsia="宋体"/>
          <w:sz w:val="24"/>
        </w:rPr>
        <w:t>泄露评审文件</w:t>
      </w:r>
      <w:r>
        <w:rPr>
          <w:rFonts w:ascii="宋体" w:hAnsi="宋体" w:eastAsia="宋体"/>
          <w:sz w:val="24"/>
        </w:rPr>
        <w:t>、</w:t>
      </w:r>
      <w:r>
        <w:rPr>
          <w:rFonts w:hint="eastAsia" w:ascii="宋体" w:hAnsi="宋体" w:eastAsia="宋体"/>
          <w:sz w:val="24"/>
        </w:rPr>
        <w:t>评审</w:t>
      </w:r>
      <w:r>
        <w:rPr>
          <w:rFonts w:ascii="宋体" w:hAnsi="宋体" w:eastAsia="宋体"/>
          <w:sz w:val="24"/>
        </w:rPr>
        <w:t>情况和</w:t>
      </w:r>
      <w:r>
        <w:rPr>
          <w:rFonts w:hint="eastAsia" w:ascii="宋体" w:hAnsi="宋体" w:eastAsia="宋体"/>
          <w:sz w:val="24"/>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03A91DB4">
      <w:pPr>
        <w:spacing w:line="360" w:lineRule="auto"/>
        <w:ind w:firstLine="437"/>
        <w:outlineLvl w:val="2"/>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7</w:t>
      </w:r>
      <w:r>
        <w:rPr>
          <w:rFonts w:asciiTheme="minorEastAsia" w:hAnsiTheme="minorEastAsia" w:eastAsiaTheme="minorEastAsia"/>
          <w:b/>
          <w:sz w:val="24"/>
        </w:rPr>
        <w:t>.成交结果公告</w:t>
      </w:r>
    </w:p>
    <w:p w14:paraId="44D9C55F">
      <w:pPr>
        <w:spacing w:line="360" w:lineRule="auto"/>
        <w:ind w:firstLine="435"/>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7</w:t>
      </w:r>
      <w:r>
        <w:rPr>
          <w:rFonts w:asciiTheme="minorEastAsia" w:hAnsiTheme="minorEastAsia" w:eastAsiaTheme="minorEastAsia"/>
          <w:sz w:val="24"/>
        </w:rPr>
        <w:t>.1</w:t>
      </w:r>
      <w:r>
        <w:rPr>
          <w:rFonts w:hint="eastAsia" w:asciiTheme="minorEastAsia" w:hAnsiTheme="minorEastAsia" w:eastAsiaTheme="minorEastAsia"/>
          <w:sz w:val="24"/>
          <w:lang w:val="en-US" w:eastAsia="zh-CN"/>
        </w:rPr>
        <w:t>成交供应商确定</w:t>
      </w:r>
      <w:r>
        <w:rPr>
          <w:rFonts w:asciiTheme="minorEastAsia" w:hAnsiTheme="minorEastAsia" w:eastAsiaTheme="minorEastAsia"/>
          <w:sz w:val="24"/>
        </w:rPr>
        <w:t>后，</w:t>
      </w:r>
      <w:r>
        <w:rPr>
          <w:rFonts w:hint="eastAsia" w:asciiTheme="minorEastAsia" w:hAnsiTheme="minorEastAsia" w:eastAsiaTheme="minorEastAsia"/>
          <w:sz w:val="24"/>
        </w:rPr>
        <w:t>采购代理机构将在安徽公共资源交易集团网站（</w:t>
      </w:r>
      <w:r>
        <w:rPr>
          <w:rFonts w:asciiTheme="minorEastAsia" w:hAnsiTheme="minorEastAsia" w:eastAsiaTheme="minorEastAsia"/>
          <w:sz w:val="24"/>
        </w:rPr>
        <w:t>http://www.ahggzyjt.com）发布成交结果公告。</w:t>
      </w:r>
    </w:p>
    <w:p w14:paraId="771BEA41">
      <w:pPr>
        <w:spacing w:line="360" w:lineRule="auto"/>
        <w:ind w:firstLine="435"/>
        <w:rPr>
          <w:rFonts w:hint="eastAsia" w:asciiTheme="minorEastAsia" w:hAnsiTheme="minorEastAsia" w:eastAsiaTheme="minorEastAsia"/>
          <w:sz w:val="24"/>
          <w:lang w:val="en-US" w:eastAsia="zh-CN"/>
        </w:rPr>
      </w:pPr>
      <w:r>
        <w:rPr>
          <w:rFonts w:asciiTheme="minorEastAsia" w:hAnsiTheme="minorEastAsia" w:eastAsiaTheme="minorEastAsia"/>
          <w:sz w:val="24"/>
        </w:rPr>
        <w:t>2</w:t>
      </w:r>
      <w:r>
        <w:rPr>
          <w:rFonts w:hint="eastAsia" w:asciiTheme="minorEastAsia" w:hAnsiTheme="minorEastAsia" w:eastAsiaTheme="minorEastAsia"/>
          <w:sz w:val="24"/>
        </w:rPr>
        <w:t>7</w:t>
      </w:r>
      <w:r>
        <w:rPr>
          <w:rFonts w:asciiTheme="minorEastAsia" w:hAnsiTheme="minorEastAsia" w:eastAsiaTheme="minorEastAsia"/>
          <w:sz w:val="24"/>
        </w:rPr>
        <w:t>.2成交结果公告内容应当包括采购人及其委托的采购代理机构的名称、地址、联系方式，项目名称和项目编号，成交供应商名称、地址和成交金额，成交结果公告期限、评审专家名单。</w:t>
      </w:r>
    </w:p>
    <w:p w14:paraId="63717224">
      <w:pPr>
        <w:spacing w:line="360" w:lineRule="auto"/>
        <w:ind w:firstLine="437"/>
        <w:outlineLvl w:val="2"/>
        <w:rPr>
          <w:rFonts w:ascii="宋体" w:hAnsi="宋体" w:eastAsia="宋体"/>
          <w:b/>
          <w:sz w:val="24"/>
        </w:rPr>
      </w:pPr>
      <w:r>
        <w:rPr>
          <w:rFonts w:ascii="宋体" w:hAnsi="宋体" w:eastAsia="宋体"/>
          <w:b/>
          <w:sz w:val="24"/>
        </w:rPr>
        <w:t>2</w:t>
      </w:r>
      <w:r>
        <w:rPr>
          <w:rFonts w:hint="eastAsia" w:ascii="宋体" w:hAnsi="宋体" w:eastAsia="宋体"/>
          <w:b/>
          <w:sz w:val="24"/>
        </w:rPr>
        <w:t>8</w:t>
      </w:r>
      <w:r>
        <w:rPr>
          <w:rFonts w:ascii="宋体" w:hAnsi="宋体" w:eastAsia="宋体"/>
          <w:b/>
          <w:sz w:val="24"/>
        </w:rPr>
        <w:t>.成交通知书</w:t>
      </w:r>
    </w:p>
    <w:p w14:paraId="5F9C1C29">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8</w:t>
      </w:r>
      <w:r>
        <w:rPr>
          <w:rFonts w:ascii="宋体" w:hAnsi="宋体" w:eastAsia="宋体"/>
          <w:sz w:val="24"/>
        </w:rPr>
        <w:t>.1采购代理机构发布成交结果公告的同时</w:t>
      </w:r>
      <w:r>
        <w:rPr>
          <w:rFonts w:asciiTheme="minorEastAsia" w:hAnsiTheme="minorEastAsia" w:eastAsiaTheme="minorEastAsia"/>
          <w:sz w:val="24"/>
        </w:rPr>
        <w:t>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ascii="宋体" w:hAnsi="宋体" w:eastAsia="宋体"/>
          <w:sz w:val="24"/>
        </w:rPr>
        <w:t>向成交供应商发出成交通知书。</w:t>
      </w:r>
    </w:p>
    <w:p w14:paraId="639BF0AD">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8</w:t>
      </w:r>
      <w:r>
        <w:rPr>
          <w:rFonts w:ascii="宋体" w:hAnsi="宋体" w:eastAsia="宋体"/>
          <w:sz w:val="24"/>
        </w:rPr>
        <w:t>.2成交通知书对采购人和成交供应商具有同等法律效力。成交通知书发出以后，采购人改变成交结果或者成交供应商放弃成交资格，应当承担相应的法律责任。</w:t>
      </w:r>
    </w:p>
    <w:p w14:paraId="36C8D60E">
      <w:pPr>
        <w:spacing w:line="360" w:lineRule="auto"/>
        <w:ind w:firstLine="435"/>
        <w:rPr>
          <w:rFonts w:ascii="宋体" w:hAnsi="宋体" w:eastAsia="宋体"/>
          <w:sz w:val="24"/>
        </w:rPr>
      </w:pPr>
      <w:r>
        <w:rPr>
          <w:rFonts w:ascii="宋体" w:hAnsi="宋体" w:eastAsia="宋体"/>
          <w:sz w:val="24"/>
        </w:rPr>
        <w:t>2</w:t>
      </w:r>
      <w:r>
        <w:rPr>
          <w:rFonts w:hint="eastAsia" w:ascii="宋体" w:hAnsi="宋体" w:eastAsia="宋体"/>
          <w:sz w:val="24"/>
        </w:rPr>
        <w:t>8</w:t>
      </w:r>
      <w:r>
        <w:rPr>
          <w:rFonts w:ascii="宋体" w:hAnsi="宋体" w:eastAsia="宋体"/>
          <w:sz w:val="24"/>
        </w:rPr>
        <w:t>.3成交通知书是合同的组成部分。</w:t>
      </w:r>
    </w:p>
    <w:p w14:paraId="101685CA">
      <w:pPr>
        <w:spacing w:line="360" w:lineRule="auto"/>
        <w:ind w:firstLine="437"/>
        <w:outlineLvl w:val="2"/>
        <w:rPr>
          <w:rFonts w:ascii="宋体" w:hAnsi="宋体" w:eastAsia="宋体"/>
          <w:b/>
          <w:sz w:val="24"/>
        </w:rPr>
      </w:pPr>
      <w:r>
        <w:rPr>
          <w:rFonts w:hint="eastAsia" w:ascii="宋体" w:hAnsi="宋体" w:eastAsia="宋体"/>
          <w:b/>
          <w:sz w:val="24"/>
        </w:rPr>
        <w:t>29</w:t>
      </w:r>
      <w:r>
        <w:rPr>
          <w:rFonts w:ascii="宋体" w:hAnsi="宋体" w:eastAsia="宋体"/>
          <w:b/>
          <w:sz w:val="24"/>
        </w:rPr>
        <w:t>.告知</w:t>
      </w:r>
      <w:r>
        <w:rPr>
          <w:rFonts w:hint="eastAsia" w:asciiTheme="minorEastAsia" w:hAnsiTheme="minorEastAsia" w:eastAsiaTheme="minorEastAsia"/>
          <w:b/>
          <w:sz w:val="24"/>
        </w:rPr>
        <w:t>磋商</w:t>
      </w:r>
      <w:r>
        <w:rPr>
          <w:rFonts w:ascii="宋体" w:hAnsi="宋体" w:eastAsia="宋体"/>
          <w:b/>
          <w:sz w:val="24"/>
        </w:rPr>
        <w:t>结果</w:t>
      </w:r>
    </w:p>
    <w:p w14:paraId="2C83CA5C">
      <w:pPr>
        <w:spacing w:line="360" w:lineRule="auto"/>
        <w:ind w:firstLine="435"/>
        <w:rPr>
          <w:rFonts w:ascii="宋体" w:hAnsi="宋体" w:eastAsia="宋体"/>
          <w:sz w:val="24"/>
        </w:rPr>
      </w:pPr>
      <w:r>
        <w:rPr>
          <w:rFonts w:hint="eastAsia" w:ascii="宋体" w:hAnsi="宋体" w:eastAsia="宋体"/>
          <w:sz w:val="24"/>
        </w:rPr>
        <w:t>29</w:t>
      </w:r>
      <w:r>
        <w:rPr>
          <w:rFonts w:ascii="宋体" w:hAnsi="宋体" w:eastAsia="宋体"/>
          <w:sz w:val="24"/>
        </w:rPr>
        <w:t>.1</w:t>
      </w:r>
      <w:r>
        <w:rPr>
          <w:rFonts w:hint="eastAsia" w:ascii="宋体" w:hAnsi="宋体" w:eastAsia="宋体"/>
          <w:sz w:val="24"/>
          <w:lang w:val="en-US" w:eastAsia="zh-CN"/>
        </w:rPr>
        <w:t>成交</w:t>
      </w:r>
      <w:r>
        <w:rPr>
          <w:rFonts w:hint="eastAsia" w:ascii="宋体" w:hAnsi="宋体" w:eastAsia="宋体"/>
          <w:sz w:val="24"/>
        </w:rPr>
        <w:t>结果公告发布后，</w:t>
      </w:r>
      <w:r>
        <w:rPr>
          <w:rFonts w:hint="eastAsia" w:ascii="宋体" w:hAnsi="宋体" w:eastAsia="宋体"/>
          <w:sz w:val="24"/>
          <w:lang w:val="en-US" w:eastAsia="zh-CN"/>
        </w:rPr>
        <w:t>供应商</w:t>
      </w:r>
      <w:r>
        <w:rPr>
          <w:rFonts w:hint="eastAsia" w:ascii="宋体" w:hAnsi="宋体" w:eastAsia="宋体"/>
          <w:sz w:val="24"/>
        </w:rPr>
        <w:t>自行登录电子交易系统查询结果信息。</w:t>
      </w:r>
    </w:p>
    <w:p w14:paraId="0A8CFAA5">
      <w:pPr>
        <w:spacing w:line="360" w:lineRule="auto"/>
        <w:ind w:firstLine="480" w:firstLineChars="200"/>
        <w:rPr>
          <w:rFonts w:ascii="宋体" w:hAnsi="宋体" w:eastAsia="宋体"/>
          <w:sz w:val="24"/>
        </w:rPr>
      </w:pPr>
      <w:r>
        <w:rPr>
          <w:rFonts w:ascii="宋体" w:hAnsi="宋体" w:eastAsia="宋体"/>
          <w:sz w:val="24"/>
        </w:rPr>
        <w:t>2</w:t>
      </w:r>
      <w:r>
        <w:rPr>
          <w:rFonts w:hint="eastAsia" w:ascii="宋体" w:hAnsi="宋体" w:eastAsia="宋体"/>
          <w:sz w:val="24"/>
        </w:rPr>
        <w:t>9</w:t>
      </w:r>
      <w:r>
        <w:rPr>
          <w:rFonts w:ascii="宋体" w:hAnsi="宋体" w:eastAsia="宋体"/>
          <w:sz w:val="24"/>
        </w:rPr>
        <w:t>.</w:t>
      </w:r>
      <w:r>
        <w:rPr>
          <w:rFonts w:hint="eastAsia" w:ascii="宋体" w:hAnsi="宋体" w:eastAsia="宋体"/>
          <w:sz w:val="24"/>
        </w:rPr>
        <w:t>2</w:t>
      </w:r>
      <w:r>
        <w:rPr>
          <w:rFonts w:ascii="宋体" w:hAnsi="宋体" w:eastAsia="宋体"/>
          <w:sz w:val="24"/>
        </w:rPr>
        <w:t>采购代理机构对未成交的供应商不做未成交原因的解释。</w:t>
      </w:r>
    </w:p>
    <w:p w14:paraId="080D6641">
      <w:pPr>
        <w:spacing w:line="360" w:lineRule="auto"/>
        <w:ind w:firstLine="437"/>
        <w:outlineLvl w:val="2"/>
        <w:rPr>
          <w:rFonts w:ascii="宋体" w:hAnsi="宋体" w:eastAsia="宋体"/>
          <w:b/>
          <w:sz w:val="24"/>
        </w:rPr>
      </w:pPr>
      <w:r>
        <w:rPr>
          <w:rFonts w:hint="eastAsia" w:ascii="宋体" w:hAnsi="宋体" w:eastAsia="宋体"/>
          <w:b/>
          <w:sz w:val="24"/>
        </w:rPr>
        <w:t>30</w:t>
      </w:r>
      <w:r>
        <w:rPr>
          <w:rFonts w:ascii="宋体" w:hAnsi="宋体" w:eastAsia="宋体"/>
          <w:b/>
          <w:sz w:val="24"/>
        </w:rPr>
        <w:t>.履约</w:t>
      </w:r>
      <w:r>
        <w:rPr>
          <w:rFonts w:asciiTheme="minorEastAsia" w:hAnsiTheme="minorEastAsia" w:eastAsiaTheme="minorEastAsia"/>
          <w:b/>
          <w:sz w:val="24"/>
        </w:rPr>
        <w:t>保证金</w:t>
      </w:r>
    </w:p>
    <w:p w14:paraId="0F942D42">
      <w:pPr>
        <w:spacing w:line="360" w:lineRule="auto"/>
        <w:ind w:firstLine="435"/>
        <w:rPr>
          <w:rFonts w:ascii="宋体" w:hAnsi="宋体" w:eastAsia="宋体"/>
          <w:sz w:val="24"/>
        </w:rPr>
      </w:pPr>
      <w:r>
        <w:rPr>
          <w:rFonts w:hint="eastAsia" w:ascii="宋体" w:hAnsi="宋体" w:eastAsia="宋体"/>
          <w:sz w:val="24"/>
        </w:rPr>
        <w:t>30</w:t>
      </w:r>
      <w:r>
        <w:rPr>
          <w:rFonts w:ascii="宋体" w:hAnsi="宋体" w:eastAsia="宋体"/>
          <w:sz w:val="24"/>
        </w:rPr>
        <w:t>.1成交供应商应按照</w:t>
      </w:r>
      <w:r>
        <w:rPr>
          <w:rFonts w:ascii="宋体" w:hAnsi="宋体" w:eastAsia="宋体"/>
          <w:sz w:val="24"/>
          <w:u w:val="single"/>
        </w:rPr>
        <w:t>供应商须知前附表</w:t>
      </w:r>
      <w:r>
        <w:rPr>
          <w:rFonts w:ascii="宋体" w:hAnsi="宋体" w:eastAsia="宋体"/>
          <w:sz w:val="24"/>
        </w:rPr>
        <w:t>规定</w:t>
      </w:r>
      <w:r>
        <w:rPr>
          <w:rFonts w:hint="eastAsia" w:ascii="宋体" w:hAnsi="宋体" w:eastAsia="宋体"/>
          <w:sz w:val="24"/>
        </w:rPr>
        <w:t>缴纳</w:t>
      </w:r>
      <w:r>
        <w:rPr>
          <w:rFonts w:ascii="宋体" w:hAnsi="宋体" w:eastAsia="宋体"/>
          <w:sz w:val="24"/>
        </w:rPr>
        <w:t>履约保证金。</w:t>
      </w:r>
    </w:p>
    <w:p w14:paraId="17A37636">
      <w:pPr>
        <w:spacing w:line="360" w:lineRule="auto"/>
        <w:ind w:firstLine="435"/>
        <w:rPr>
          <w:rFonts w:ascii="宋体" w:hAnsi="宋体" w:eastAsia="宋体"/>
          <w:sz w:val="24"/>
        </w:rPr>
      </w:pPr>
      <w:r>
        <w:rPr>
          <w:rFonts w:hint="eastAsia" w:ascii="宋体" w:hAnsi="宋体" w:eastAsia="宋体"/>
          <w:sz w:val="24"/>
        </w:rPr>
        <w:t>30</w:t>
      </w:r>
      <w:r>
        <w:rPr>
          <w:rFonts w:ascii="宋体" w:hAnsi="宋体" w:eastAsia="宋体"/>
          <w:sz w:val="24"/>
        </w:rPr>
        <w:t>.2如果成交供应商没有按照上述履约保证金的规定执行，将视为放弃成交资格。在此情况下，采购人可确定下一成交候选供应商为成交供应商，也可以重新开展采购活动。</w:t>
      </w:r>
    </w:p>
    <w:p w14:paraId="7CA604BF">
      <w:pPr>
        <w:spacing w:line="360" w:lineRule="auto"/>
        <w:ind w:firstLine="437"/>
        <w:outlineLvl w:val="2"/>
        <w:rPr>
          <w:rFonts w:hint="eastAsia" w:asciiTheme="minorEastAsia" w:hAnsiTheme="minorEastAsia" w:eastAsiaTheme="minorEastAsia"/>
          <w:b/>
          <w:sz w:val="24"/>
          <w:lang w:eastAsia="zh-CN"/>
        </w:rPr>
      </w:pPr>
      <w:r>
        <w:rPr>
          <w:rFonts w:hint="eastAsia" w:ascii="宋体" w:hAnsi="宋体" w:eastAsia="宋体"/>
          <w:b/>
          <w:sz w:val="24"/>
        </w:rPr>
        <w:t>31</w:t>
      </w:r>
      <w:r>
        <w:rPr>
          <w:rFonts w:ascii="宋体" w:hAnsi="宋体" w:eastAsia="宋体"/>
          <w:b/>
          <w:sz w:val="24"/>
        </w:rPr>
        <w:t>.</w:t>
      </w:r>
      <w:r>
        <w:rPr>
          <w:rFonts w:hint="eastAsia" w:asciiTheme="minorEastAsia" w:hAnsiTheme="minorEastAsia" w:eastAsiaTheme="minorEastAsia"/>
          <w:b/>
          <w:sz w:val="24"/>
          <w:lang w:eastAsia="zh-CN"/>
        </w:rPr>
        <w:t>代理费用</w:t>
      </w:r>
    </w:p>
    <w:p w14:paraId="2B72FF58">
      <w:pPr>
        <w:spacing w:line="360" w:lineRule="auto"/>
        <w:ind w:firstLine="435"/>
        <w:rPr>
          <w:rFonts w:hint="eastAsia" w:asciiTheme="minorEastAsia" w:hAnsiTheme="minorEastAsia" w:eastAsiaTheme="minorEastAsia"/>
          <w:sz w:val="24"/>
        </w:rPr>
      </w:pPr>
      <w:r>
        <w:rPr>
          <w:rFonts w:ascii="宋体" w:hAnsi="宋体" w:eastAsia="宋体"/>
          <w:sz w:val="24"/>
        </w:rPr>
        <w:t>3</w:t>
      </w:r>
      <w:r>
        <w:rPr>
          <w:rFonts w:hint="eastAsia" w:ascii="宋体" w:hAnsi="宋体" w:eastAsia="宋体"/>
          <w:sz w:val="24"/>
          <w:lang w:val="en-US" w:eastAsia="zh-CN"/>
        </w:rPr>
        <w:t>1</w:t>
      </w:r>
      <w:r>
        <w:rPr>
          <w:rFonts w:ascii="宋体" w:hAnsi="宋体" w:eastAsia="宋体"/>
          <w:sz w:val="24"/>
        </w:rPr>
        <w:t>.1</w:t>
      </w:r>
      <w:r>
        <w:rPr>
          <w:rFonts w:hint="eastAsia" w:ascii="宋体" w:hAnsi="宋体" w:eastAsia="宋体"/>
          <w:sz w:val="24"/>
        </w:rPr>
        <w:t>本项目</w:t>
      </w:r>
      <w:r>
        <w:rPr>
          <w:rFonts w:hint="eastAsia" w:ascii="宋体" w:hAnsi="宋体" w:eastAsia="宋体"/>
          <w:sz w:val="24"/>
          <w:lang w:eastAsia="zh-CN"/>
        </w:rPr>
        <w:t>代理费用</w:t>
      </w:r>
      <w:r>
        <w:rPr>
          <w:rFonts w:hint="eastAsia" w:ascii="宋体" w:hAnsi="宋体" w:eastAsia="宋体"/>
          <w:sz w:val="24"/>
        </w:rPr>
        <w:t>的收取按</w:t>
      </w:r>
      <w:r>
        <w:rPr>
          <w:rFonts w:hint="eastAsia" w:asciiTheme="minorEastAsia" w:hAnsiTheme="minorEastAsia" w:eastAsiaTheme="minorEastAsia"/>
          <w:sz w:val="24"/>
          <w:u w:val="single"/>
          <w:lang w:val="en-US" w:eastAsia="zh-CN"/>
        </w:rPr>
        <w:t>供应商</w:t>
      </w:r>
      <w:r>
        <w:rPr>
          <w:rFonts w:hint="eastAsia" w:asciiTheme="minorEastAsia" w:hAnsiTheme="minorEastAsia" w:eastAsiaTheme="minorEastAsia"/>
          <w:sz w:val="24"/>
          <w:u w:val="single"/>
        </w:rPr>
        <w:t>须知前附表的</w:t>
      </w:r>
      <w:r>
        <w:rPr>
          <w:rFonts w:hint="eastAsia" w:ascii="宋体" w:hAnsi="宋体" w:eastAsia="宋体"/>
          <w:sz w:val="24"/>
        </w:rPr>
        <w:t>规定执行</w:t>
      </w:r>
      <w:r>
        <w:rPr>
          <w:rFonts w:hint="eastAsia" w:asciiTheme="minorEastAsia" w:hAnsiTheme="minorEastAsia" w:eastAsiaTheme="minorEastAsia"/>
          <w:sz w:val="24"/>
        </w:rPr>
        <w:t>。</w:t>
      </w:r>
    </w:p>
    <w:p w14:paraId="64986B1E">
      <w:pPr>
        <w:spacing w:line="360" w:lineRule="auto"/>
        <w:ind w:firstLine="435"/>
        <w:rPr>
          <w:rFonts w:ascii="宋体" w:hAnsi="宋体" w:eastAsia="宋体"/>
          <w:sz w:val="24"/>
        </w:rPr>
      </w:pPr>
      <w:r>
        <w:rPr>
          <w:rFonts w:hint="eastAsia" w:ascii="宋体" w:hAnsi="宋体" w:eastAsia="宋体"/>
          <w:sz w:val="24"/>
          <w:lang w:val="en-US" w:eastAsia="zh-CN"/>
        </w:rPr>
        <w:t>31.2成交供应商放弃成交资格</w:t>
      </w:r>
      <w:r>
        <w:rPr>
          <w:rFonts w:hint="eastAsia" w:ascii="宋体" w:hAnsi="宋体" w:eastAsia="宋体" w:cs="@仿宋_GB2312"/>
          <w:sz w:val="24"/>
          <w:szCs w:val="20"/>
          <w:lang w:val="en-US" w:eastAsia="zh-CN"/>
        </w:rPr>
        <w:t>导致项目终止</w:t>
      </w:r>
      <w:r>
        <w:rPr>
          <w:rFonts w:hint="eastAsia" w:ascii="宋体" w:hAnsi="宋体" w:eastAsia="宋体" w:cs="@仿宋_GB2312"/>
          <w:sz w:val="24"/>
          <w:szCs w:val="20"/>
        </w:rPr>
        <w:t>的，</w:t>
      </w:r>
      <w:r>
        <w:rPr>
          <w:rFonts w:hint="eastAsia" w:ascii="宋体" w:hAnsi="宋体" w:eastAsia="宋体" w:cs="@仿宋_GB2312"/>
          <w:sz w:val="24"/>
          <w:szCs w:val="20"/>
          <w:lang w:eastAsia="zh-CN"/>
        </w:rPr>
        <w:t>代理费用</w:t>
      </w:r>
      <w:r>
        <w:rPr>
          <w:rFonts w:hint="eastAsia" w:ascii="宋体" w:hAnsi="宋体" w:eastAsia="宋体" w:cs="@仿宋_GB2312"/>
          <w:sz w:val="24"/>
          <w:szCs w:val="20"/>
          <w:lang w:val="en-US" w:eastAsia="zh-CN"/>
        </w:rPr>
        <w:t>由其承担</w:t>
      </w:r>
      <w:r>
        <w:rPr>
          <w:rFonts w:hint="eastAsia" w:ascii="宋体" w:hAnsi="宋体" w:eastAsia="宋体" w:cs="@仿宋_GB2312"/>
          <w:sz w:val="24"/>
          <w:szCs w:val="20"/>
          <w:lang w:eastAsia="zh-CN"/>
        </w:rPr>
        <w:t>。</w:t>
      </w:r>
    </w:p>
    <w:p w14:paraId="37C1194E">
      <w:pPr>
        <w:spacing w:line="360" w:lineRule="auto"/>
        <w:ind w:firstLine="437"/>
        <w:outlineLvl w:val="2"/>
        <w:rPr>
          <w:rFonts w:ascii="宋体" w:hAnsi="宋体" w:eastAsia="宋体"/>
          <w:b/>
          <w:sz w:val="24"/>
        </w:rPr>
      </w:pPr>
      <w:r>
        <w:rPr>
          <w:rFonts w:hint="eastAsia" w:ascii="宋体" w:hAnsi="宋体" w:eastAsia="宋体"/>
          <w:b/>
          <w:sz w:val="24"/>
        </w:rPr>
        <w:t>32</w:t>
      </w:r>
      <w:r>
        <w:rPr>
          <w:rFonts w:ascii="宋体" w:hAnsi="宋体" w:eastAsia="宋体"/>
          <w:b/>
          <w:sz w:val="24"/>
        </w:rPr>
        <w:t>.签订</w:t>
      </w:r>
      <w:r>
        <w:rPr>
          <w:rFonts w:asciiTheme="minorEastAsia" w:hAnsiTheme="minorEastAsia" w:eastAsiaTheme="minorEastAsia"/>
          <w:b/>
          <w:sz w:val="24"/>
        </w:rPr>
        <w:t>合同</w:t>
      </w:r>
    </w:p>
    <w:p w14:paraId="59A8A93D">
      <w:pPr>
        <w:spacing w:line="360" w:lineRule="auto"/>
        <w:ind w:firstLine="435"/>
        <w:rPr>
          <w:rFonts w:ascii="宋体" w:hAnsi="宋体" w:eastAsia="宋体"/>
          <w:sz w:val="24"/>
        </w:rPr>
      </w:pPr>
      <w:r>
        <w:rPr>
          <w:rFonts w:hint="eastAsia" w:ascii="宋体" w:hAnsi="宋体" w:eastAsia="宋体"/>
          <w:sz w:val="24"/>
        </w:rPr>
        <w:t>32</w:t>
      </w:r>
      <w:r>
        <w:rPr>
          <w:rFonts w:ascii="宋体" w:hAnsi="宋体" w:eastAsia="宋体"/>
          <w:sz w:val="24"/>
        </w:rPr>
        <w:t>.1</w:t>
      </w:r>
      <w:r>
        <w:rPr>
          <w:rFonts w:hint="eastAsia" w:ascii="宋体" w:hAnsi="宋体" w:eastAsia="宋体"/>
          <w:sz w:val="24"/>
        </w:rPr>
        <w:t>采购人与</w:t>
      </w:r>
      <w:r>
        <w:rPr>
          <w:rFonts w:hint="eastAsia" w:ascii="宋体" w:hAnsi="宋体" w:eastAsia="宋体"/>
          <w:sz w:val="24"/>
          <w:lang w:val="en-US" w:eastAsia="zh-CN"/>
        </w:rPr>
        <w:t>成交供应商</w:t>
      </w:r>
      <w:r>
        <w:rPr>
          <w:rFonts w:hint="eastAsia" w:ascii="宋体" w:hAnsi="宋体" w:eastAsia="宋体"/>
          <w:sz w:val="24"/>
        </w:rPr>
        <w:t>应当</w:t>
      </w:r>
      <w:r>
        <w:rPr>
          <w:rFonts w:hint="eastAsia" w:ascii="宋体" w:hAnsi="宋体" w:eastAsia="宋体"/>
          <w:sz w:val="24"/>
          <w:lang w:val="en-US" w:eastAsia="zh-CN"/>
        </w:rPr>
        <w:t>在</w:t>
      </w:r>
      <w:r>
        <w:rPr>
          <w:rFonts w:hint="eastAsia" w:ascii="宋体" w:hAnsi="宋体" w:eastAsia="宋体"/>
          <w:sz w:val="24"/>
        </w:rPr>
        <w:t>中标通知书</w:t>
      </w:r>
      <w:r>
        <w:rPr>
          <w:rFonts w:hint="eastAsia" w:ascii="宋体" w:hAnsi="宋体" w:eastAsia="宋体"/>
          <w:sz w:val="24"/>
          <w:lang w:val="en-US" w:eastAsia="zh-CN"/>
        </w:rPr>
        <w:t>发出后及时</w:t>
      </w:r>
      <w:r>
        <w:rPr>
          <w:rFonts w:hint="eastAsia" w:ascii="宋体" w:hAnsi="宋体" w:eastAsia="宋体"/>
          <w:sz w:val="24"/>
        </w:rPr>
        <w:t>签订合同。</w:t>
      </w:r>
    </w:p>
    <w:p w14:paraId="6361D79C">
      <w:pPr>
        <w:spacing w:line="360" w:lineRule="auto"/>
        <w:ind w:firstLine="435"/>
        <w:rPr>
          <w:rFonts w:ascii="宋体" w:hAnsi="宋体" w:eastAsia="宋体"/>
          <w:sz w:val="24"/>
        </w:rPr>
      </w:pPr>
      <w:r>
        <w:rPr>
          <w:rFonts w:hint="eastAsia" w:ascii="宋体" w:hAnsi="宋体" w:eastAsia="宋体"/>
          <w:sz w:val="24"/>
        </w:rPr>
        <w:t>32</w:t>
      </w:r>
      <w:r>
        <w:rPr>
          <w:rFonts w:ascii="宋体" w:hAnsi="宋体" w:eastAsia="宋体"/>
          <w:sz w:val="24"/>
        </w:rPr>
        <w:t>.2磋商文件、成交供应商的响应文件及其澄清文件等，均为签订合同的依据。</w:t>
      </w:r>
    </w:p>
    <w:p w14:paraId="2885A11C">
      <w:pPr>
        <w:spacing w:line="360" w:lineRule="auto"/>
        <w:ind w:firstLine="470" w:firstLineChars="196"/>
        <w:rPr>
          <w:rFonts w:ascii="宋体" w:hAnsi="宋体" w:eastAsia="宋体"/>
          <w:sz w:val="24"/>
        </w:rPr>
      </w:pPr>
      <w:r>
        <w:rPr>
          <w:rFonts w:hint="eastAsia" w:ascii="宋体" w:hAnsi="宋体" w:eastAsia="宋体"/>
          <w:sz w:val="24"/>
        </w:rPr>
        <w:t>32</w:t>
      </w:r>
      <w:r>
        <w:rPr>
          <w:rFonts w:ascii="宋体" w:hAnsi="宋体" w:eastAsia="宋体"/>
          <w:sz w:val="24"/>
        </w:rPr>
        <w:t>.3 成交供应商拒绝与采购人签订合同的，采购人可以按照评审报告推荐的成交候选供应商名单排序，确定下一成交候选供应商为成交供应商，也可以重新开展采购活动。</w:t>
      </w:r>
      <w:r>
        <w:rPr>
          <w:rFonts w:hint="eastAsia" w:ascii="宋体" w:hAnsi="宋体" w:eastAsia="宋体"/>
          <w:sz w:val="24"/>
        </w:rPr>
        <w:t>成交供应商拒绝签订采购合同的不得参加对该项目重新开展的采购活动。</w:t>
      </w:r>
    </w:p>
    <w:p w14:paraId="21AA0692">
      <w:pPr>
        <w:spacing w:line="360" w:lineRule="auto"/>
        <w:ind w:firstLine="437"/>
        <w:outlineLvl w:val="2"/>
        <w:rPr>
          <w:rFonts w:ascii="宋体" w:hAnsi="宋体" w:eastAsia="宋体"/>
          <w:b/>
          <w:sz w:val="24"/>
        </w:rPr>
      </w:pPr>
      <w:r>
        <w:rPr>
          <w:rFonts w:ascii="宋体" w:hAnsi="宋体" w:eastAsia="宋体"/>
          <w:b/>
          <w:sz w:val="24"/>
        </w:rPr>
        <w:t>3</w:t>
      </w:r>
      <w:r>
        <w:rPr>
          <w:rFonts w:hint="eastAsia" w:ascii="宋体" w:hAnsi="宋体" w:eastAsia="宋体"/>
          <w:b/>
          <w:sz w:val="24"/>
        </w:rPr>
        <w:t>3</w:t>
      </w:r>
      <w:r>
        <w:rPr>
          <w:rFonts w:ascii="宋体" w:hAnsi="宋体" w:eastAsia="宋体"/>
          <w:b/>
          <w:sz w:val="24"/>
        </w:rPr>
        <w:t>.廉洁</w:t>
      </w:r>
      <w:r>
        <w:rPr>
          <w:rFonts w:asciiTheme="minorEastAsia" w:hAnsiTheme="minorEastAsia" w:eastAsiaTheme="minorEastAsia"/>
          <w:b/>
          <w:sz w:val="24"/>
        </w:rPr>
        <w:t>自律</w:t>
      </w:r>
      <w:r>
        <w:rPr>
          <w:rFonts w:ascii="宋体" w:hAnsi="宋体" w:eastAsia="宋体"/>
          <w:b/>
          <w:sz w:val="24"/>
        </w:rPr>
        <w:t>规定</w:t>
      </w:r>
    </w:p>
    <w:p w14:paraId="305D5514">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3</w:t>
      </w:r>
      <w:r>
        <w:rPr>
          <w:rFonts w:ascii="宋体" w:hAnsi="宋体" w:eastAsia="宋体"/>
          <w:sz w:val="24"/>
        </w:rPr>
        <w:t>.1采购代理机构工作人员不得以不正当手段获取采购代理业务，不得与采购人、供应商恶意串通。</w:t>
      </w:r>
    </w:p>
    <w:p w14:paraId="5E6CAE8C">
      <w:pPr>
        <w:spacing w:line="360" w:lineRule="auto"/>
        <w:ind w:firstLine="435"/>
        <w:rPr>
          <w:rFonts w:ascii="宋体" w:hAnsi="宋体" w:eastAsia="宋体"/>
          <w:sz w:val="24"/>
        </w:rPr>
      </w:pPr>
      <w:r>
        <w:rPr>
          <w:rFonts w:ascii="宋体" w:hAnsi="宋体" w:eastAsia="宋体"/>
          <w:sz w:val="24"/>
        </w:rPr>
        <w:t>3</w:t>
      </w:r>
      <w:r>
        <w:rPr>
          <w:rFonts w:hint="eastAsia" w:ascii="宋体" w:hAnsi="宋体" w:eastAsia="宋体"/>
          <w:sz w:val="24"/>
        </w:rPr>
        <w:t>3</w:t>
      </w:r>
      <w:r>
        <w:rPr>
          <w:rFonts w:ascii="宋体" w:hAnsi="宋体" w:eastAsia="宋体"/>
          <w:sz w:val="24"/>
        </w:rPr>
        <w:t>.2采购代理机构工作人员不得接受采购人或者供应商组织的宴请、旅游、娱乐，不得收受礼品、现金、有价证券等，不得向采购人或者供应商报销应当由个人承担的费用。</w:t>
      </w:r>
    </w:p>
    <w:p w14:paraId="55282054">
      <w:pPr>
        <w:spacing w:line="360" w:lineRule="auto"/>
        <w:ind w:firstLine="437"/>
        <w:outlineLvl w:val="2"/>
        <w:rPr>
          <w:rFonts w:ascii="宋体" w:hAnsi="宋体" w:eastAsia="宋体"/>
          <w:b/>
          <w:sz w:val="24"/>
        </w:rPr>
      </w:pPr>
      <w:r>
        <w:rPr>
          <w:rFonts w:ascii="宋体" w:hAnsi="宋体" w:eastAsia="宋体"/>
          <w:b/>
          <w:sz w:val="24"/>
        </w:rPr>
        <w:t>3</w:t>
      </w:r>
      <w:r>
        <w:rPr>
          <w:rFonts w:hint="eastAsia" w:ascii="宋体" w:hAnsi="宋体" w:eastAsia="宋体"/>
          <w:b/>
          <w:sz w:val="24"/>
          <w:lang w:val="en-US" w:eastAsia="zh-CN"/>
        </w:rPr>
        <w:t>4</w:t>
      </w:r>
      <w:r>
        <w:rPr>
          <w:rFonts w:ascii="宋体" w:hAnsi="宋体" w:eastAsia="宋体"/>
          <w:b/>
          <w:sz w:val="24"/>
        </w:rPr>
        <w:t>.需要补充的其他内容</w:t>
      </w:r>
    </w:p>
    <w:p w14:paraId="42F1B4D4">
      <w:pPr>
        <w:spacing w:line="360" w:lineRule="auto"/>
        <w:ind w:firstLine="435"/>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p>
    <w:p w14:paraId="27BA8568">
      <w:pPr>
        <w:widowControl/>
        <w:jc w:val="left"/>
        <w:rPr>
          <w:rFonts w:asciiTheme="minorEastAsia" w:hAnsiTheme="minorEastAsia" w:eastAsiaTheme="minorEastAsia"/>
          <w:b/>
          <w:sz w:val="28"/>
        </w:rPr>
      </w:pPr>
      <w:r>
        <w:rPr>
          <w:rFonts w:asciiTheme="minorEastAsia" w:hAnsiTheme="minorEastAsia" w:eastAsiaTheme="minorEastAsia"/>
          <w:sz w:val="24"/>
        </w:rPr>
        <w:br w:type="page"/>
      </w:r>
    </w:p>
    <w:p w14:paraId="3C2D2281">
      <w:pPr>
        <w:spacing w:line="360" w:lineRule="auto"/>
        <w:jc w:val="center"/>
        <w:outlineLvl w:val="0"/>
        <w:rPr>
          <w:rFonts w:asciiTheme="minorEastAsia" w:hAnsiTheme="minorEastAsia" w:eastAsiaTheme="minorEastAsia"/>
          <w:b/>
          <w:sz w:val="28"/>
        </w:rPr>
      </w:pPr>
      <w:bookmarkStart w:id="13" w:name="_Toc8041"/>
      <w:r>
        <w:rPr>
          <w:rFonts w:hint="eastAsia" w:asciiTheme="minorEastAsia" w:hAnsiTheme="minorEastAsia" w:eastAsiaTheme="minorEastAsia"/>
          <w:b/>
          <w:sz w:val="28"/>
        </w:rPr>
        <w:t>第三章  采购需求</w:t>
      </w:r>
      <w:bookmarkEnd w:id="13"/>
    </w:p>
    <w:p w14:paraId="02EB0657">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前注：</w:t>
      </w:r>
    </w:p>
    <w:p w14:paraId="34F0A0BA">
      <w:pPr>
        <w:spacing w:line="360" w:lineRule="auto"/>
        <w:ind w:firstLine="437"/>
        <w:rPr>
          <w:rFonts w:asciiTheme="minorEastAsia" w:hAnsiTheme="minorEastAsia" w:eastAsiaTheme="minorEastAsia"/>
          <w:sz w:val="24"/>
        </w:rPr>
      </w:pPr>
      <w:r>
        <w:rPr>
          <w:rFonts w:asciiTheme="minorEastAsia" w:hAnsiTheme="minorEastAsia" w:eastAsiaTheme="minorEastAsia"/>
          <w:sz w:val="24"/>
        </w:rPr>
        <w:t>本说明中提出的技术方案仅为参考，如无明确限制，供应商可以进行优化，提供满足用户实际需要的更优（或者性能实质上不低于的）服务方案，且此方案须经磋商小组评审认可</w:t>
      </w:r>
      <w:r>
        <w:rPr>
          <w:rFonts w:hint="eastAsia" w:asciiTheme="minorEastAsia" w:hAnsiTheme="minorEastAsia" w:eastAsiaTheme="minorEastAsia"/>
          <w:sz w:val="24"/>
        </w:rPr>
        <w:t>。</w:t>
      </w:r>
    </w:p>
    <w:p w14:paraId="52468B1D">
      <w:pPr>
        <w:spacing w:line="360" w:lineRule="auto"/>
        <w:ind w:firstLine="437"/>
        <w:rPr>
          <w:rFonts w:asciiTheme="minorEastAsia" w:hAnsiTheme="minorEastAsia" w:eastAsiaTheme="minorEastAsia"/>
          <w:sz w:val="24"/>
        </w:rPr>
      </w:pPr>
    </w:p>
    <w:p w14:paraId="6A4139D6">
      <w:pPr>
        <w:spacing w:line="360" w:lineRule="auto"/>
        <w:ind w:firstLine="437"/>
        <w:outlineLvl w:val="1"/>
        <w:rPr>
          <w:rFonts w:ascii="宋体" w:hAnsi="宋体" w:eastAsia="宋体"/>
          <w:b/>
          <w:sz w:val="24"/>
          <w:szCs w:val="18"/>
        </w:rPr>
      </w:pPr>
      <w:bookmarkStart w:id="14" w:name="_Toc19777"/>
      <w:r>
        <w:rPr>
          <w:rFonts w:hint="eastAsia" w:ascii="宋体" w:hAnsi="宋体" w:eastAsia="宋体"/>
          <w:b/>
          <w:sz w:val="24"/>
          <w:szCs w:val="18"/>
        </w:rPr>
        <w:t>一、采购需求前附表</w:t>
      </w:r>
      <w:bookmarkEnd w:id="14"/>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6"/>
        <w:gridCol w:w="2032"/>
        <w:gridCol w:w="5484"/>
      </w:tblGrid>
      <w:tr w14:paraId="3EDB19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4C0764D4">
            <w:pPr>
              <w:pStyle w:val="29"/>
              <w:pBdr>
                <w:bottom w:val="none" w:color="auto" w:sz="0" w:space="0"/>
              </w:pBdr>
              <w:tabs>
                <w:tab w:val="clear" w:pos="4153"/>
                <w:tab w:val="clear" w:pos="8306"/>
              </w:tabs>
              <w:adjustRightInd/>
              <w:spacing w:line="240" w:lineRule="auto"/>
              <w:textAlignment w:val="auto"/>
              <w:rPr>
                <w:rFonts w:ascii="宋体" w:hAnsi="宋体" w:eastAsia="宋体"/>
                <w:b/>
                <w:kern w:val="2"/>
              </w:rPr>
            </w:pPr>
            <w:r>
              <w:rPr>
                <w:rFonts w:hint="eastAsia" w:ascii="宋体" w:hAnsi="宋体" w:eastAsia="宋体"/>
                <w:b/>
                <w:kern w:val="2"/>
              </w:rPr>
              <w:t>序号</w:t>
            </w:r>
          </w:p>
        </w:tc>
        <w:tc>
          <w:tcPr>
            <w:tcW w:w="2032" w:type="dxa"/>
            <w:vAlign w:val="center"/>
          </w:tcPr>
          <w:p w14:paraId="111ABE25">
            <w:pPr>
              <w:pStyle w:val="28"/>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条款名称</w:t>
            </w:r>
          </w:p>
        </w:tc>
        <w:tc>
          <w:tcPr>
            <w:tcW w:w="5484" w:type="dxa"/>
            <w:vAlign w:val="center"/>
          </w:tcPr>
          <w:p w14:paraId="1F3BBD38">
            <w:pPr>
              <w:pStyle w:val="28"/>
              <w:widowControl w:val="0"/>
              <w:spacing w:before="0" w:beforeAutospacing="0" w:after="0" w:afterAutospacing="0" w:line="360" w:lineRule="auto"/>
              <w:rPr>
                <w:rFonts w:ascii="宋体" w:hAnsi="宋体" w:eastAsia="宋体"/>
                <w:bCs w:val="0"/>
                <w:sz w:val="24"/>
              </w:rPr>
            </w:pPr>
            <w:r>
              <w:rPr>
                <w:rFonts w:hint="eastAsia" w:ascii="宋体" w:hAnsi="宋体" w:eastAsia="宋体"/>
                <w:bCs w:val="0"/>
                <w:sz w:val="24"/>
              </w:rPr>
              <w:t>内容、说明与要求</w:t>
            </w:r>
          </w:p>
        </w:tc>
      </w:tr>
      <w:tr w14:paraId="66BDC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748E4F54">
            <w:pPr>
              <w:pStyle w:val="2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1</w:t>
            </w:r>
          </w:p>
        </w:tc>
        <w:tc>
          <w:tcPr>
            <w:tcW w:w="2032" w:type="dxa"/>
            <w:vAlign w:val="center"/>
          </w:tcPr>
          <w:p w14:paraId="76980C34">
            <w:pPr>
              <w:pStyle w:val="28"/>
              <w:widowControl w:val="0"/>
              <w:spacing w:before="0" w:beforeAutospacing="0" w:after="0" w:afterAutospacing="0" w:line="360" w:lineRule="auto"/>
              <w:rPr>
                <w:rFonts w:ascii="宋体" w:hAnsi="宋体" w:eastAsia="宋体"/>
                <w:b w:val="0"/>
                <w:sz w:val="24"/>
              </w:rPr>
            </w:pPr>
            <w:r>
              <w:rPr>
                <w:rFonts w:hint="eastAsia" w:ascii="宋体" w:hAnsi="宋体" w:eastAsia="宋体"/>
                <w:b w:val="0"/>
                <w:sz w:val="24"/>
              </w:rPr>
              <w:t>付款方式</w:t>
            </w:r>
          </w:p>
        </w:tc>
        <w:tc>
          <w:tcPr>
            <w:tcW w:w="5484" w:type="dxa"/>
            <w:vAlign w:val="center"/>
          </w:tcPr>
          <w:p w14:paraId="369EF815">
            <w:pPr>
              <w:pStyle w:val="28"/>
              <w:widowControl w:val="0"/>
              <w:spacing w:before="0" w:beforeAutospacing="0" w:after="0" w:afterAutospacing="0" w:line="360" w:lineRule="auto"/>
              <w:jc w:val="both"/>
              <w:rPr>
                <w:rFonts w:ascii="宋体" w:hAnsi="宋体" w:eastAsia="宋体"/>
                <w:b w:val="0"/>
                <w:sz w:val="24"/>
                <w:u w:val="none"/>
              </w:rPr>
            </w:pPr>
            <w:r>
              <w:rPr>
                <w:rFonts w:hint="eastAsia" w:ascii="宋体" w:hAnsi="宋体" w:eastAsia="宋体"/>
                <w:b w:val="0"/>
                <w:sz w:val="24"/>
                <w:u w:val="none"/>
                <w:lang w:val="en-US" w:eastAsia="zh-CN"/>
              </w:rPr>
              <w:t>验收合格后一次性支付合同款</w:t>
            </w:r>
          </w:p>
        </w:tc>
      </w:tr>
      <w:tr w14:paraId="2944DA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2B3D4CAF">
            <w:pPr>
              <w:pStyle w:val="2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2</w:t>
            </w:r>
          </w:p>
        </w:tc>
        <w:tc>
          <w:tcPr>
            <w:tcW w:w="2032" w:type="dxa"/>
            <w:vAlign w:val="center"/>
          </w:tcPr>
          <w:p w14:paraId="3A7F021C">
            <w:pPr>
              <w:pStyle w:val="28"/>
              <w:widowControl w:val="0"/>
              <w:spacing w:before="0" w:beforeAutospacing="0" w:after="0" w:afterAutospacing="0" w:line="360" w:lineRule="auto"/>
              <w:rPr>
                <w:rFonts w:ascii="宋体" w:hAnsi="宋体" w:eastAsia="宋体"/>
                <w:b w:val="0"/>
                <w:sz w:val="24"/>
              </w:rPr>
            </w:pPr>
            <w:r>
              <w:rPr>
                <w:rFonts w:hint="eastAsia" w:ascii="宋体" w:hAnsi="宋体" w:eastAsia="宋体"/>
                <w:b w:val="0"/>
                <w:color w:val="auto"/>
                <w:sz w:val="24"/>
                <w:highlight w:val="none"/>
                <w:lang w:val="en-US" w:eastAsia="zh-CN"/>
              </w:rPr>
              <w:t>服务</w:t>
            </w:r>
            <w:r>
              <w:rPr>
                <w:rFonts w:hint="eastAsia" w:ascii="宋体" w:hAnsi="宋体" w:eastAsia="宋体"/>
                <w:b w:val="0"/>
                <w:color w:val="auto"/>
                <w:sz w:val="24"/>
                <w:highlight w:val="none"/>
              </w:rPr>
              <w:t>地点</w:t>
            </w:r>
          </w:p>
        </w:tc>
        <w:tc>
          <w:tcPr>
            <w:tcW w:w="5484" w:type="dxa"/>
            <w:vAlign w:val="center"/>
          </w:tcPr>
          <w:p w14:paraId="2F61486F">
            <w:pPr>
              <w:pStyle w:val="28"/>
              <w:widowControl w:val="0"/>
              <w:spacing w:before="0" w:beforeAutospacing="0" w:after="0" w:afterAutospacing="0" w:line="360" w:lineRule="auto"/>
              <w:jc w:val="both"/>
              <w:rPr>
                <w:rFonts w:ascii="宋体" w:hAnsi="宋体" w:eastAsia="宋体"/>
                <w:b w:val="0"/>
                <w:color w:val="auto"/>
                <w:sz w:val="24"/>
                <w:u w:val="none"/>
              </w:rPr>
            </w:pPr>
            <w:r>
              <w:rPr>
                <w:rFonts w:hint="eastAsia" w:ascii="宋体" w:hAnsi="宋体" w:eastAsia="宋体"/>
                <w:b w:val="0"/>
                <w:color w:val="auto"/>
                <w:sz w:val="24"/>
                <w:highlight w:val="none"/>
                <w:u w:val="none"/>
                <w:lang w:val="en-US" w:eastAsia="zh-CN"/>
              </w:rPr>
              <w:t>滁州学院教育发展基金会，采购人指定地点</w:t>
            </w:r>
          </w:p>
        </w:tc>
      </w:tr>
      <w:tr w14:paraId="7417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AAF8030">
            <w:pPr>
              <w:pStyle w:val="2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hint="eastAsia" w:ascii="宋体" w:hAnsi="宋体" w:eastAsia="宋体"/>
                <w:bCs/>
                <w:kern w:val="2"/>
              </w:rPr>
              <w:t>3</w:t>
            </w:r>
          </w:p>
        </w:tc>
        <w:tc>
          <w:tcPr>
            <w:tcW w:w="2032" w:type="dxa"/>
            <w:vAlign w:val="center"/>
          </w:tcPr>
          <w:p w14:paraId="75FE2FBD">
            <w:pPr>
              <w:pStyle w:val="28"/>
              <w:widowControl w:val="0"/>
              <w:spacing w:before="0" w:beforeAutospacing="0" w:after="0" w:afterAutospacing="0" w:line="360" w:lineRule="auto"/>
              <w:rPr>
                <w:rFonts w:ascii="宋体" w:hAnsi="宋体" w:eastAsia="宋体"/>
                <w:b w:val="0"/>
                <w:sz w:val="24"/>
              </w:rPr>
            </w:pPr>
            <w:r>
              <w:rPr>
                <w:rFonts w:hint="eastAsia" w:ascii="宋体" w:hAnsi="宋体" w:eastAsia="宋体"/>
                <w:b w:val="0"/>
                <w:color w:val="auto"/>
                <w:sz w:val="24"/>
              </w:rPr>
              <w:t>服务期限</w:t>
            </w:r>
          </w:p>
        </w:tc>
        <w:tc>
          <w:tcPr>
            <w:tcW w:w="5484" w:type="dxa"/>
            <w:vAlign w:val="center"/>
          </w:tcPr>
          <w:p w14:paraId="0366F141">
            <w:pPr>
              <w:bidi w:val="0"/>
              <w:spacing w:line="360" w:lineRule="auto"/>
              <w:rPr>
                <w:rFonts w:ascii="宋体" w:hAnsi="宋体" w:eastAsia="宋体"/>
                <w:b w:val="0"/>
                <w:color w:val="auto"/>
                <w:sz w:val="24"/>
              </w:rPr>
            </w:pPr>
            <w:r>
              <w:rPr>
                <w:rFonts w:hint="eastAsia" w:ascii="宋体" w:hAnsi="宋体" w:eastAsia="宋体" w:cs="@仿宋_GB2312"/>
                <w:b w:val="0"/>
                <w:bCs/>
                <w:color w:val="auto"/>
                <w:kern w:val="0"/>
                <w:sz w:val="24"/>
                <w:szCs w:val="28"/>
                <w:lang w:val="en-US" w:eastAsia="zh-CN" w:bidi="ar-SA"/>
              </w:rPr>
              <w:t>合同生效后30个日历天内</w:t>
            </w:r>
          </w:p>
        </w:tc>
      </w:tr>
      <w:tr w14:paraId="76854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6" w:type="dxa"/>
            <w:vAlign w:val="center"/>
          </w:tcPr>
          <w:p w14:paraId="567F0163">
            <w:pPr>
              <w:pStyle w:val="29"/>
              <w:pBdr>
                <w:bottom w:val="none" w:color="auto" w:sz="0" w:space="0"/>
              </w:pBdr>
              <w:tabs>
                <w:tab w:val="clear" w:pos="4153"/>
                <w:tab w:val="clear" w:pos="8306"/>
              </w:tabs>
              <w:adjustRightInd/>
              <w:spacing w:line="240" w:lineRule="auto"/>
              <w:textAlignment w:val="auto"/>
              <w:rPr>
                <w:rFonts w:ascii="宋体" w:hAnsi="宋体" w:eastAsia="宋体"/>
                <w:bCs/>
                <w:kern w:val="2"/>
              </w:rPr>
            </w:pPr>
            <w:r>
              <w:rPr>
                <w:rFonts w:ascii="宋体" w:hAnsi="宋体" w:eastAsia="宋体"/>
                <w:bCs/>
                <w:kern w:val="2"/>
              </w:rPr>
              <w:t>4</w:t>
            </w:r>
          </w:p>
        </w:tc>
        <w:tc>
          <w:tcPr>
            <w:tcW w:w="2032" w:type="dxa"/>
            <w:vAlign w:val="center"/>
          </w:tcPr>
          <w:p w14:paraId="3E4E20F0">
            <w:pPr>
              <w:pStyle w:val="28"/>
              <w:widowControl w:val="0"/>
              <w:spacing w:before="0" w:beforeAutospacing="0" w:after="0" w:afterAutospacing="0" w:line="360" w:lineRule="auto"/>
              <w:rPr>
                <w:rFonts w:ascii="宋体" w:hAnsi="宋体" w:eastAsia="宋体" w:cs="@仿宋_GB2312"/>
                <w:b w:val="0"/>
                <w:bCs/>
                <w:kern w:val="0"/>
                <w:sz w:val="24"/>
                <w:szCs w:val="28"/>
                <w:lang w:val="en-US" w:eastAsia="zh-CN" w:bidi="ar-SA"/>
              </w:rPr>
            </w:pPr>
            <w:r>
              <w:rPr>
                <w:rFonts w:hint="eastAsia" w:ascii="宋体" w:hAnsi="宋体" w:eastAsia="宋体"/>
                <w:b w:val="0"/>
                <w:color w:val="auto"/>
                <w:sz w:val="24"/>
                <w:lang w:val="en-US" w:eastAsia="zh-CN"/>
              </w:rPr>
              <w:t>免费质保期</w:t>
            </w:r>
          </w:p>
        </w:tc>
        <w:tc>
          <w:tcPr>
            <w:tcW w:w="5484" w:type="dxa"/>
            <w:vAlign w:val="center"/>
          </w:tcPr>
          <w:p w14:paraId="1FF3896A">
            <w:pPr>
              <w:bidi w:val="0"/>
              <w:spacing w:line="360" w:lineRule="auto"/>
              <w:rPr>
                <w:rFonts w:ascii="宋体" w:hAnsi="宋体" w:eastAsia="宋体" w:cs="@仿宋_GB2312"/>
                <w:b w:val="0"/>
                <w:bCs/>
                <w:kern w:val="0"/>
                <w:sz w:val="24"/>
                <w:szCs w:val="28"/>
                <w:lang w:val="en-US" w:eastAsia="zh-CN" w:bidi="ar-SA"/>
              </w:rPr>
            </w:pPr>
            <w:r>
              <w:rPr>
                <w:rFonts w:hint="eastAsia" w:ascii="宋体" w:hAnsi="宋体" w:eastAsia="宋体" w:cs="@仿宋_GB2312"/>
                <w:b w:val="0"/>
                <w:bCs/>
                <w:color w:val="auto"/>
                <w:kern w:val="0"/>
                <w:sz w:val="24"/>
                <w:szCs w:val="28"/>
                <w:lang w:val="en-US" w:eastAsia="zh-CN" w:bidi="ar-SA"/>
              </w:rPr>
              <w:t>验收合格之日起3年</w:t>
            </w:r>
          </w:p>
        </w:tc>
      </w:tr>
    </w:tbl>
    <w:p w14:paraId="74D2FECA">
      <w:pPr>
        <w:pageBreakBefore w:val="0"/>
        <w:numPr>
          <w:ilvl w:val="0"/>
          <w:numId w:val="0"/>
        </w:numPr>
        <w:kinsoku/>
        <w:wordWrap/>
        <w:overflowPunct/>
        <w:topLinePunct w:val="0"/>
        <w:bidi w:val="0"/>
        <w:spacing w:line="360" w:lineRule="auto"/>
        <w:ind w:firstLine="420" w:firstLineChars="0"/>
        <w:outlineLvl w:val="1"/>
        <w:rPr>
          <w:rFonts w:hint="eastAsia" w:ascii="宋体" w:hAnsi="宋体" w:eastAsia="宋体"/>
          <w:b/>
          <w:color w:val="auto"/>
          <w:sz w:val="24"/>
          <w:szCs w:val="18"/>
          <w:highlight w:val="none"/>
          <w:lang w:val="en-US" w:eastAsia="zh-CN"/>
        </w:rPr>
      </w:pPr>
      <w:bookmarkStart w:id="15" w:name="_Toc31392"/>
      <w:bookmarkStart w:id="16" w:name="_Hlk16461016"/>
      <w:r>
        <w:rPr>
          <w:rFonts w:hint="eastAsia" w:ascii="宋体" w:hAnsi="宋体" w:eastAsia="宋体"/>
          <w:b/>
          <w:sz w:val="24"/>
          <w:szCs w:val="18"/>
        </w:rPr>
        <w:t>二、</w:t>
      </w:r>
      <w:bookmarkEnd w:id="15"/>
      <w:r>
        <w:rPr>
          <w:rFonts w:hint="eastAsia" w:ascii="宋体" w:hAnsi="宋体" w:eastAsia="宋体"/>
          <w:b/>
          <w:color w:val="auto"/>
          <w:sz w:val="24"/>
          <w:szCs w:val="18"/>
          <w:highlight w:val="none"/>
          <w:lang w:val="en-US" w:eastAsia="zh-CN"/>
        </w:rPr>
        <w:t>项目概况</w:t>
      </w:r>
    </w:p>
    <w:p w14:paraId="0BCEAB99">
      <w:pPr>
        <w:pageBreakBefore w:val="0"/>
        <w:kinsoku/>
        <w:wordWrap/>
        <w:overflowPunct/>
        <w:topLinePunct w:val="0"/>
        <w:bidi w:val="0"/>
        <w:spacing w:line="360" w:lineRule="auto"/>
        <w:ind w:firstLine="437"/>
        <w:rPr>
          <w:rFonts w:hint="default" w:asciiTheme="minorEastAsia" w:hAnsiTheme="minorEastAsia" w:eastAsiaTheme="minorEastAsia"/>
          <w:strike w:val="0"/>
          <w:dstrike w:val="0"/>
          <w:color w:val="auto"/>
          <w:sz w:val="24"/>
          <w:highlight w:val="none"/>
          <w:lang w:val="en-US" w:eastAsia="zh-CN"/>
        </w:rPr>
      </w:pPr>
      <w:r>
        <w:rPr>
          <w:rFonts w:hint="default" w:asciiTheme="minorEastAsia" w:hAnsiTheme="minorEastAsia" w:eastAsiaTheme="minorEastAsia"/>
          <w:strike w:val="0"/>
          <w:dstrike w:val="0"/>
          <w:color w:val="auto"/>
          <w:sz w:val="24"/>
          <w:highlight w:val="none"/>
          <w:lang w:val="en-US" w:eastAsia="zh-CN"/>
        </w:rPr>
        <w:t>滁州学院前身是创建于1950年的皖北滁州师范学校。历经滁县师范学校、安徽师范大学滁县教学点等办学阶段；1980年更名为滁州师范专科学校，2004年经教育部批准升格为滁州学院。1950年办学以来，学校先后培养了数十万毕业生，他们分布在国内外的各行各业，他们不仅是国家经济建设、社会进步、科技发展的重要力量，同时也为母校的建设与发展做出积极贡献。校友作为母校宝贵的财富和资源，是学校建设与发展的重要外部支撑和依靠力量。校友工作是学校工作的重要组成部分，新形势下加强校友工作，开创校友工作新局面，开发这座巨大的学校资源宝库，更好地服务校友，支持地方经济社会建设，促进学校各项事业发展，具有重要意义。</w:t>
      </w:r>
    </w:p>
    <w:p w14:paraId="510EDF83">
      <w:pPr>
        <w:pageBreakBefore w:val="0"/>
        <w:kinsoku/>
        <w:wordWrap/>
        <w:overflowPunct/>
        <w:topLinePunct w:val="0"/>
        <w:bidi w:val="0"/>
        <w:spacing w:line="360" w:lineRule="auto"/>
        <w:ind w:firstLine="437"/>
        <w:rPr>
          <w:rFonts w:hint="default" w:asciiTheme="minorEastAsia" w:hAnsiTheme="minorEastAsia" w:eastAsiaTheme="minorEastAsia"/>
          <w:color w:val="auto"/>
          <w:sz w:val="24"/>
          <w:lang w:val="en-US" w:eastAsia="zh-CN"/>
        </w:rPr>
      </w:pPr>
      <w:r>
        <w:rPr>
          <w:rFonts w:hint="default" w:asciiTheme="minorEastAsia" w:hAnsiTheme="minorEastAsia" w:eastAsiaTheme="minorEastAsia"/>
          <w:color w:val="auto"/>
          <w:sz w:val="24"/>
          <w:lang w:val="en-US" w:eastAsia="zh-CN"/>
        </w:rPr>
        <w:t>在滁州学院现有校友信息管理系统基础上，依托学校信息平台和网络环境，建设一个满足校友信息化发展的、可持续、可扩展的校友工作综合管理服务平台。平台能够充分运用校友资源，发挥好桥梁沟通作用，将校友数据采集与管理、校友资源开发、校友会管理、校友服务、校友活动、校友捐赠等功能集成于一体，高效的进行处理、查询、统计、分析等，有效提高校友工作的管理水平和工作效率，推进校友与校友、校友与母校之间更为紧密、持续和深度的融合，让校友工作更好的服务于校友、母校与社会的共同发展。符合我校未来校友会工作服务的需求。</w:t>
      </w:r>
    </w:p>
    <w:p w14:paraId="7B0097FB">
      <w:pPr>
        <w:keepNext w:val="0"/>
        <w:keepLines w:val="0"/>
        <w:pageBreakBefore w:val="0"/>
        <w:widowControl/>
        <w:kinsoku/>
        <w:wordWrap/>
        <w:overflowPunct/>
        <w:topLinePunct w:val="0"/>
        <w:autoSpaceDE/>
        <w:autoSpaceDN/>
        <w:bidi w:val="0"/>
        <w:adjustRightInd/>
        <w:snapToGrid/>
        <w:spacing w:line="360" w:lineRule="auto"/>
        <w:ind w:firstLine="562"/>
        <w:textAlignment w:val="auto"/>
        <w:outlineLvl w:val="0"/>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b/>
          <w:i w:val="0"/>
          <w:iCs w:val="0"/>
          <w:caps w:val="0"/>
          <w:color w:val="333333"/>
          <w:spacing w:val="0"/>
          <w:kern w:val="0"/>
          <w:sz w:val="24"/>
          <w:szCs w:val="24"/>
          <w:lang w:val="en-US" w:eastAsia="zh-CN" w:bidi="ar"/>
        </w:rPr>
        <w:t>三、系统升级目标</w:t>
      </w:r>
      <w:bookmarkStart w:id="17" w:name="OLE_LINK1"/>
    </w:p>
    <w:p w14:paraId="3FB5D81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面向校领导、校友总会、校友分会、学院、校友、基金会等不同角色用户，建设一个满足校友信息化发展的、可持续、可扩展的校友工作数据管理、组织管理、捐赠管理、活动管理的综合管理服务平台。</w:t>
      </w:r>
    </w:p>
    <w:p w14:paraId="15F3AC5A">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1.基础数据收集与整理，基于档案、校内各部门、各学院广大校友等渠道收集来的基础校友信息，按照规范的、统一的数据字段进行数据清洗和整理，并在数据确认后导入系统，作为校友 系统的初始数据及基础名册数据，为后续校友注册奠定坚实基础。 </w:t>
      </w:r>
    </w:p>
    <w:p w14:paraId="4C8B22F3">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2.通过信息化平台搭建学校权威校友信息数据库，实现多维度的校友信息管理与查询服务，建立统一标准的校友数据收集与更新机制，实现校友数据的自动化动态更新。提升校友工作整体 管理水平，解放人力，提高工作效率；</w:t>
      </w:r>
    </w:p>
    <w:p w14:paraId="28661E5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、搭建学校官方校友服务门户，实现面向校友用户的统一访问入口，满足校友全终端访问需求。</w:t>
      </w:r>
    </w:p>
    <w:p w14:paraId="0CBC723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实现移动化办公，校友海量数据，掌上随查随办，对校友全方位的信息一触即达，照片名片一键更新。</w:t>
      </w:r>
    </w:p>
    <w:p w14:paraId="1C31556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搭建一站式的校友服务平台，实现校友服务的统一运营与管理，采用松耦合框架，灵活可配，管理员可随时配置功能。校友服务平台提供的服务可以包括电子校友卡申领、返校预约、档案查询、证书补办、找校友、找资源等服务。通过持续开放的各类校友服务，提升校友参与度和满意度。</w:t>
      </w:r>
    </w:p>
    <w:p w14:paraId="4B147E7E">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 xml:space="preserve">6.构建图文并茂的在线捐赠平台，为校友和社会爱心人士提供极佳的闭环捐赠体验，全过程在线操作，捐赠成功后自动获得电子捐赠证书；捐赠数据自动入库，与校友数据无缝对接； </w:t>
      </w:r>
    </w:p>
    <w:p w14:paraId="18FA7F3E">
      <w:pPr>
        <w:keepNext w:val="0"/>
        <w:keepLines w:val="0"/>
        <w:widowControl/>
        <w:suppressLineNumbers w:val="0"/>
        <w:spacing w:line="360" w:lineRule="auto"/>
        <w:ind w:firstLine="480" w:firstLineChars="200"/>
        <w:jc w:val="left"/>
        <w:rPr>
          <w:rFonts w:hint="eastAsia" w:ascii="宋体" w:hAnsi="宋体" w:eastAsia="宋体" w:cs="宋体"/>
          <w:sz w:val="24"/>
          <w:szCs w:val="24"/>
        </w:rPr>
      </w:pPr>
      <w:r>
        <w:rPr>
          <w:rFonts w:hint="eastAsia" w:ascii="宋体" w:hAnsi="宋体" w:eastAsia="宋体" w:cs="宋体"/>
          <w:kern w:val="2"/>
          <w:sz w:val="24"/>
          <w:szCs w:val="24"/>
          <w:lang w:val="en-US" w:eastAsia="zh-CN" w:bidi="ar"/>
        </w:rPr>
        <w:t>7.构建以教育基金会为主体、学校二级学院参与的全流程、全角色、全覆盖、全生命周期的 基金项目管理系统，个性化梳理项目、协议、到账、用款四大核心流程，理顺并优化业务流程并 规范项目执行，提升基金项目管理的合规性和透明度，角色权限划分清晰，各角色管理员可直观 通过系统查看项目、协议、资金等情况；</w:t>
      </w:r>
    </w:p>
    <w:bookmarkEnd w:id="17"/>
    <w:p w14:paraId="4EAEA79F">
      <w:pPr>
        <w:keepNext w:val="0"/>
        <w:keepLines w:val="0"/>
        <w:pageBreakBefore w:val="0"/>
        <w:widowControl/>
        <w:kinsoku/>
        <w:wordWrap/>
        <w:overflowPunct/>
        <w:topLinePunct w:val="0"/>
        <w:autoSpaceDE/>
        <w:autoSpaceDN/>
        <w:bidi w:val="0"/>
        <w:adjustRightInd/>
        <w:snapToGrid/>
        <w:spacing w:line="360" w:lineRule="auto"/>
        <w:ind w:firstLine="562"/>
        <w:textAlignment w:val="auto"/>
        <w:outlineLvl w:val="0"/>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b/>
          <w:i w:val="0"/>
          <w:iCs w:val="0"/>
          <w:caps w:val="0"/>
          <w:color w:val="333333"/>
          <w:spacing w:val="0"/>
          <w:kern w:val="0"/>
          <w:sz w:val="24"/>
          <w:szCs w:val="24"/>
          <w:lang w:val="en-US" w:eastAsia="zh-CN" w:bidi="ar"/>
        </w:rPr>
        <w:t>四、系统功能要求</w:t>
      </w:r>
    </w:p>
    <w:p w14:paraId="28F22D1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outlineLvl w:val="1"/>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1、校友会智慧融合平台模块</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2"/>
        <w:gridCol w:w="1314"/>
        <w:gridCol w:w="1703"/>
        <w:gridCol w:w="4590"/>
      </w:tblGrid>
      <w:tr w14:paraId="7456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71E002E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序号</w:t>
            </w:r>
          </w:p>
        </w:tc>
        <w:tc>
          <w:tcPr>
            <w:tcW w:w="771" w:type="pct"/>
            <w:noWrap w:val="0"/>
            <w:vAlign w:val="center"/>
          </w:tcPr>
          <w:p w14:paraId="0DE7CC1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功能模块</w:t>
            </w:r>
          </w:p>
        </w:tc>
        <w:tc>
          <w:tcPr>
            <w:tcW w:w="999" w:type="pct"/>
            <w:noWrap w:val="0"/>
            <w:vAlign w:val="center"/>
          </w:tcPr>
          <w:p w14:paraId="5196F40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子功能</w:t>
            </w:r>
          </w:p>
        </w:tc>
        <w:tc>
          <w:tcPr>
            <w:tcW w:w="2693" w:type="pct"/>
            <w:noWrap w:val="0"/>
            <w:vAlign w:val="center"/>
          </w:tcPr>
          <w:p w14:paraId="502CFAE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说明</w:t>
            </w:r>
          </w:p>
        </w:tc>
      </w:tr>
      <w:tr w14:paraId="3A0D7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37FC91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771" w:type="pct"/>
            <w:noWrap w:val="0"/>
            <w:vAlign w:val="center"/>
          </w:tcPr>
          <w:p w14:paraId="66E7A4A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工作门户</w:t>
            </w:r>
          </w:p>
        </w:tc>
        <w:tc>
          <w:tcPr>
            <w:tcW w:w="3693" w:type="pct"/>
            <w:gridSpan w:val="2"/>
            <w:noWrap w:val="0"/>
            <w:vAlign w:val="center"/>
          </w:tcPr>
          <w:p w14:paraId="7CD1211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工作门户展现系统公告、当前用户权限范围内的各类校友数据的整体情况、注册/活动等的快速统计。同时提供代办提醒功能，包括待审核注册信息、待审核活动信息、待审核报名信息、待审核校友互助留言、待审核校友卡、待审核返校预约等。</w:t>
            </w:r>
          </w:p>
        </w:tc>
      </w:tr>
      <w:tr w14:paraId="4F0B68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526203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771" w:type="pct"/>
            <w:vMerge w:val="restart"/>
            <w:noWrap w:val="0"/>
            <w:vAlign w:val="center"/>
          </w:tcPr>
          <w:p w14:paraId="033ABF5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校友注册审核</w:t>
            </w:r>
          </w:p>
        </w:tc>
        <w:tc>
          <w:tcPr>
            <w:tcW w:w="999" w:type="pct"/>
            <w:noWrap w:val="0"/>
            <w:vAlign w:val="center"/>
          </w:tcPr>
          <w:p w14:paraId="5EC5E41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智能审核</w:t>
            </w:r>
          </w:p>
        </w:tc>
        <w:tc>
          <w:tcPr>
            <w:tcW w:w="2693" w:type="pct"/>
            <w:noWrap w:val="0"/>
            <w:vAlign w:val="center"/>
          </w:tcPr>
          <w:p w14:paraId="13FCD80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系统提供智能审核，注册校友满足智能审核条件时可智能审核通过，自动完成校友身份注册。</w:t>
            </w:r>
          </w:p>
        </w:tc>
      </w:tr>
      <w:tr w14:paraId="300E3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6ED0467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771" w:type="pct"/>
            <w:vMerge w:val="continue"/>
            <w:noWrap w:val="0"/>
            <w:vAlign w:val="center"/>
          </w:tcPr>
          <w:p w14:paraId="564B15E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0415C46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人工审核</w:t>
            </w:r>
          </w:p>
        </w:tc>
        <w:tc>
          <w:tcPr>
            <w:tcW w:w="2693" w:type="pct"/>
            <w:noWrap w:val="0"/>
            <w:vAlign w:val="center"/>
          </w:tcPr>
          <w:p w14:paraId="48EBCBB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对于无法智能认证通过的校友，提供人工审核机制，管理员能够从后台进行人工审核，能够指派到二级院系进行审核。</w:t>
            </w:r>
          </w:p>
        </w:tc>
      </w:tr>
      <w:tr w14:paraId="5EE0E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18713C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771" w:type="pct"/>
            <w:vMerge w:val="continue"/>
            <w:noWrap w:val="0"/>
            <w:vAlign w:val="center"/>
          </w:tcPr>
          <w:p w14:paraId="5D2321B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5D8ECFE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再次审核</w:t>
            </w:r>
          </w:p>
        </w:tc>
        <w:tc>
          <w:tcPr>
            <w:tcW w:w="2693" w:type="pct"/>
            <w:noWrap w:val="0"/>
            <w:vAlign w:val="center"/>
          </w:tcPr>
          <w:p w14:paraId="1F489EC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校友在校友平台中修改了信息后，就会被系统捕获，生成“再次审核”事件，提供校友办工作人员进行再次审核。</w:t>
            </w:r>
          </w:p>
        </w:tc>
      </w:tr>
      <w:tr w14:paraId="40CA3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13606CE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771" w:type="pct"/>
            <w:vMerge w:val="restart"/>
            <w:noWrap w:val="0"/>
            <w:vAlign w:val="center"/>
          </w:tcPr>
          <w:p w14:paraId="763C33F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校友卡管理</w:t>
            </w:r>
          </w:p>
        </w:tc>
        <w:tc>
          <w:tcPr>
            <w:tcW w:w="999" w:type="pct"/>
            <w:noWrap w:val="0"/>
            <w:vAlign w:val="center"/>
          </w:tcPr>
          <w:p w14:paraId="7C6E4A7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校友卡审核管理</w:t>
            </w:r>
          </w:p>
        </w:tc>
        <w:tc>
          <w:tcPr>
            <w:tcW w:w="2693" w:type="pct"/>
            <w:noWrap w:val="0"/>
            <w:vAlign w:val="center"/>
          </w:tcPr>
          <w:p w14:paraId="66CCFEB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可对申领校友卡进行统一审核管理。</w:t>
            </w:r>
          </w:p>
        </w:tc>
      </w:tr>
      <w:tr w14:paraId="68169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5C80B43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771" w:type="pct"/>
            <w:vMerge w:val="continue"/>
            <w:noWrap w:val="0"/>
            <w:vAlign w:val="center"/>
          </w:tcPr>
          <w:p w14:paraId="413E48B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6CD26A3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校友卡状态管理</w:t>
            </w:r>
          </w:p>
        </w:tc>
        <w:tc>
          <w:tcPr>
            <w:tcW w:w="2693" w:type="pct"/>
            <w:noWrap w:val="0"/>
            <w:vAlign w:val="center"/>
          </w:tcPr>
          <w:p w14:paraId="741A9D3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针对校友卡状态进行统一管理。</w:t>
            </w:r>
          </w:p>
        </w:tc>
      </w:tr>
      <w:tr w14:paraId="664A8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286AB0E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771" w:type="pct"/>
            <w:vMerge w:val="continue"/>
            <w:noWrap w:val="0"/>
            <w:vAlign w:val="center"/>
          </w:tcPr>
          <w:p w14:paraId="4E37938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087E0EE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校友卡配置管理</w:t>
            </w:r>
          </w:p>
        </w:tc>
        <w:tc>
          <w:tcPr>
            <w:tcW w:w="2693" w:type="pct"/>
            <w:noWrap w:val="0"/>
            <w:vAlign w:val="center"/>
          </w:tcPr>
          <w:p w14:paraId="1D6189C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能够配置校友卡类型、参数等配置管理。</w:t>
            </w:r>
          </w:p>
        </w:tc>
      </w:tr>
      <w:tr w14:paraId="18922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0A34F8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771" w:type="pct"/>
            <w:vMerge w:val="restart"/>
            <w:noWrap w:val="0"/>
            <w:vAlign w:val="center"/>
          </w:tcPr>
          <w:p w14:paraId="41D4562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返校预约管理</w:t>
            </w:r>
          </w:p>
        </w:tc>
        <w:tc>
          <w:tcPr>
            <w:tcW w:w="999" w:type="pct"/>
            <w:noWrap w:val="0"/>
            <w:vAlign w:val="center"/>
          </w:tcPr>
          <w:p w14:paraId="3C9E97F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自定义填写内容</w:t>
            </w:r>
          </w:p>
        </w:tc>
        <w:tc>
          <w:tcPr>
            <w:tcW w:w="2693" w:type="pct"/>
            <w:noWrap w:val="0"/>
            <w:vAlign w:val="center"/>
          </w:tcPr>
          <w:p w14:paraId="4D25CD5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管理员可在入校登记后台根据具体情况所需对校友入校登记信息填写选项进行自由设置。</w:t>
            </w:r>
          </w:p>
        </w:tc>
      </w:tr>
      <w:tr w14:paraId="148E12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512C627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771" w:type="pct"/>
            <w:vMerge w:val="continue"/>
            <w:noWrap w:val="0"/>
            <w:vAlign w:val="center"/>
          </w:tcPr>
          <w:p w14:paraId="0BCE295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4FC55A1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预约审核配置</w:t>
            </w:r>
          </w:p>
        </w:tc>
        <w:tc>
          <w:tcPr>
            <w:tcW w:w="2693" w:type="pct"/>
            <w:noWrap w:val="0"/>
            <w:vAlign w:val="center"/>
          </w:tcPr>
          <w:p w14:paraId="76CD0AE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管理员可在后台针对校友进校登记是否需要预约进校设置，点击操作栏下的按钮，“关闭”即校友进校登记“无需审核”，“审核”即校友进校登记“需审核”。</w:t>
            </w:r>
          </w:p>
        </w:tc>
      </w:tr>
      <w:tr w14:paraId="191C0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2135391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771" w:type="pct"/>
            <w:vMerge w:val="continue"/>
            <w:noWrap w:val="0"/>
            <w:vAlign w:val="center"/>
          </w:tcPr>
          <w:p w14:paraId="7627FC0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5E165CC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校区选项配置</w:t>
            </w:r>
          </w:p>
        </w:tc>
        <w:tc>
          <w:tcPr>
            <w:tcW w:w="2693" w:type="pct"/>
            <w:noWrap w:val="0"/>
            <w:vAlign w:val="center"/>
          </w:tcPr>
          <w:p w14:paraId="24A88EC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管理员可在后台针对校友进校登记所选校区进校设置，点击操作栏下的“设置”即可对校区选择进校添加编辑。</w:t>
            </w:r>
          </w:p>
        </w:tc>
      </w:tr>
      <w:tr w14:paraId="0E28D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0E95AC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771" w:type="pct"/>
            <w:vMerge w:val="continue"/>
            <w:noWrap w:val="0"/>
            <w:vAlign w:val="center"/>
          </w:tcPr>
          <w:p w14:paraId="383BF35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1E7A1D6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随行人员选择配置</w:t>
            </w:r>
          </w:p>
        </w:tc>
        <w:tc>
          <w:tcPr>
            <w:tcW w:w="2693" w:type="pct"/>
            <w:noWrap w:val="0"/>
            <w:vAlign w:val="center"/>
          </w:tcPr>
          <w:p w14:paraId="45E4C86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理员可在后台针对进校登记校友是否允许有随行人员一起入校进校设置，“禁止”则不允许有随行人员一起入校；“允许”，则需对可随行人数进行数量设置，也可以对随行人数需要报备信息进行勾选设置，如姓名、手机号码、身份证号码等。</w:t>
            </w:r>
          </w:p>
        </w:tc>
      </w:tr>
      <w:tr w14:paraId="2194B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pct"/>
            <w:noWrap w:val="0"/>
            <w:vAlign w:val="center"/>
          </w:tcPr>
          <w:p w14:paraId="1E3B8AA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771" w:type="pct"/>
            <w:vMerge w:val="restart"/>
            <w:noWrap w:val="0"/>
            <w:vAlign w:val="center"/>
          </w:tcPr>
          <w:p w14:paraId="15E5A3E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校友学籍管理</w:t>
            </w:r>
          </w:p>
        </w:tc>
        <w:tc>
          <w:tcPr>
            <w:tcW w:w="999" w:type="pct"/>
            <w:noWrap w:val="0"/>
            <w:vAlign w:val="center"/>
          </w:tcPr>
          <w:p w14:paraId="7F90838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学籍数据清洗</w:t>
            </w:r>
          </w:p>
        </w:tc>
        <w:tc>
          <w:tcPr>
            <w:tcW w:w="2693" w:type="pct"/>
            <w:noWrap w:val="0"/>
            <w:vAlign w:val="center"/>
          </w:tcPr>
          <w:p w14:paraId="7459BD2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针对学校现有的校友名册中的数据进行清洗，发现并纠正数据文件中可识别的错误；包括检查数据一致性，处理无效值和缺失值等；系统能够自动对有字段缺失的学籍信息归入待处理名册，待信息核实后可归档到学籍信息。</w:t>
            </w:r>
          </w:p>
        </w:tc>
      </w:tr>
      <w:tr w14:paraId="0FA315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781178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771" w:type="pct"/>
            <w:vMerge w:val="continue"/>
            <w:noWrap w:val="0"/>
            <w:vAlign w:val="center"/>
          </w:tcPr>
          <w:p w14:paraId="3AD8ACF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7BA6C22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学籍导入/导出</w:t>
            </w:r>
          </w:p>
        </w:tc>
        <w:tc>
          <w:tcPr>
            <w:tcW w:w="2693" w:type="pct"/>
            <w:noWrap w:val="0"/>
            <w:vAlign w:val="center"/>
          </w:tcPr>
          <w:p w14:paraId="66FD483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提供学籍信息批量导入功能，能够导入文件格式自动校验、导入数据自动查重、重复数据处理；提供学籍信息批量导出功能，可根据查询出的校友信息，选择部分或全部进行导出，能够导出字段的选择配置。</w:t>
            </w:r>
          </w:p>
        </w:tc>
      </w:tr>
      <w:tr w14:paraId="3A0D50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49C0B19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771" w:type="pct"/>
            <w:vMerge w:val="continue"/>
            <w:noWrap w:val="0"/>
            <w:vAlign w:val="center"/>
          </w:tcPr>
          <w:p w14:paraId="6240320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330047F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学籍信息总览</w:t>
            </w:r>
          </w:p>
        </w:tc>
        <w:tc>
          <w:tcPr>
            <w:tcW w:w="2693" w:type="pct"/>
            <w:noWrap w:val="0"/>
            <w:vAlign w:val="center"/>
          </w:tcPr>
          <w:p w14:paraId="57B40A9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系统能够总览所有学籍信息，能够按二级学院查询和按数据标准化程度进行查询，可查询二级学院、系、专业、班级等各维度数量，能够点击数字查看对应字段数据详情。</w:t>
            </w:r>
          </w:p>
        </w:tc>
      </w:tr>
      <w:tr w14:paraId="20BC5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6E0F439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771" w:type="pct"/>
            <w:vMerge w:val="continue"/>
            <w:noWrap w:val="0"/>
            <w:vAlign w:val="center"/>
          </w:tcPr>
          <w:p w14:paraId="6A43F3A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2C31425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学籍智能关联</w:t>
            </w:r>
          </w:p>
        </w:tc>
        <w:tc>
          <w:tcPr>
            <w:tcW w:w="2693" w:type="pct"/>
            <w:noWrap w:val="0"/>
            <w:vAlign w:val="center"/>
          </w:tcPr>
          <w:p w14:paraId="7DA9710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校友注册时可根据填写的学历信息和学籍信息智能匹配关联。</w:t>
            </w:r>
          </w:p>
        </w:tc>
      </w:tr>
      <w:tr w14:paraId="703B5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5B12243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w:t>
            </w:r>
          </w:p>
        </w:tc>
        <w:tc>
          <w:tcPr>
            <w:tcW w:w="771" w:type="pct"/>
            <w:vMerge w:val="restart"/>
            <w:noWrap w:val="0"/>
            <w:vAlign w:val="center"/>
          </w:tcPr>
          <w:p w14:paraId="795B8C5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校友信息管理</w:t>
            </w:r>
          </w:p>
        </w:tc>
        <w:tc>
          <w:tcPr>
            <w:tcW w:w="999" w:type="pct"/>
            <w:noWrap w:val="0"/>
            <w:vAlign w:val="center"/>
          </w:tcPr>
          <w:p w14:paraId="29D3BE4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校友信息管理</w:t>
            </w:r>
          </w:p>
        </w:tc>
        <w:tc>
          <w:tcPr>
            <w:tcW w:w="2693" w:type="pct"/>
            <w:noWrap w:val="0"/>
            <w:vAlign w:val="center"/>
          </w:tcPr>
          <w:p w14:paraId="791D869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校友信息库的统一管理。校友信息包括基本信息、联系信息、学籍信息、互动信息、联系方式、通讯地址、学习经历、在校经历、工作经历、社会兼职等信息的管理。同时，管理员可以基于校友的账号信息（注册校友）、内部信息、交往信息、照片、名片、动态等多维度管理校友信息。</w:t>
            </w:r>
          </w:p>
        </w:tc>
      </w:tr>
      <w:tr w14:paraId="1CE971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1F6A8B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w:t>
            </w:r>
          </w:p>
        </w:tc>
        <w:tc>
          <w:tcPr>
            <w:tcW w:w="771" w:type="pct"/>
            <w:vMerge w:val="continue"/>
            <w:noWrap w:val="0"/>
            <w:vAlign w:val="center"/>
          </w:tcPr>
          <w:p w14:paraId="60B1494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5EDD405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校友综合查询</w:t>
            </w:r>
          </w:p>
        </w:tc>
        <w:tc>
          <w:tcPr>
            <w:tcW w:w="2693" w:type="pct"/>
            <w:noWrap w:val="0"/>
            <w:vAlign w:val="center"/>
          </w:tcPr>
          <w:p w14:paraId="5D6BB31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提供校友信息全字段的组合查询，能够“并且”和“或者”的条件组合。能够进行条件优先级配置。</w:t>
            </w:r>
          </w:p>
        </w:tc>
      </w:tr>
      <w:tr w14:paraId="63073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71B7014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w:t>
            </w:r>
          </w:p>
        </w:tc>
        <w:tc>
          <w:tcPr>
            <w:tcW w:w="771" w:type="pct"/>
            <w:vMerge w:val="continue"/>
            <w:noWrap w:val="0"/>
            <w:vAlign w:val="center"/>
          </w:tcPr>
          <w:p w14:paraId="68F7619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23E2CB6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校友标签管理</w:t>
            </w:r>
          </w:p>
        </w:tc>
        <w:tc>
          <w:tcPr>
            <w:tcW w:w="2693" w:type="pct"/>
            <w:noWrap w:val="0"/>
            <w:vAlign w:val="center"/>
          </w:tcPr>
          <w:p w14:paraId="20D4C92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管理员可以能够根据不同业务场景和需求，个性化灵活配置校友标签，如重点校友、大额捐赠者、潜在捐赠人、班级联络员等，能够根据标签查询校友，可批量设置标签，可批量删除标签。</w:t>
            </w:r>
          </w:p>
        </w:tc>
      </w:tr>
      <w:tr w14:paraId="1806CA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4D8676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w:t>
            </w:r>
          </w:p>
        </w:tc>
        <w:tc>
          <w:tcPr>
            <w:tcW w:w="771" w:type="pct"/>
            <w:vMerge w:val="continue"/>
            <w:noWrap w:val="0"/>
            <w:vAlign w:val="center"/>
          </w:tcPr>
          <w:p w14:paraId="7E3C257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44BC670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校友照片管理</w:t>
            </w:r>
          </w:p>
        </w:tc>
        <w:tc>
          <w:tcPr>
            <w:tcW w:w="2693" w:type="pct"/>
            <w:noWrap w:val="0"/>
            <w:vAlign w:val="center"/>
          </w:tcPr>
          <w:p w14:paraId="5BD4DA3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系统能够进行照片管理，照片可关联对应校友，照片可用于人脸识别底库用于比对数据，管理员可后台上传照片，同时能够从掌上管理平台维护照片。</w:t>
            </w:r>
          </w:p>
        </w:tc>
      </w:tr>
      <w:tr w14:paraId="776CA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pct"/>
            <w:noWrap w:val="0"/>
            <w:vAlign w:val="center"/>
          </w:tcPr>
          <w:p w14:paraId="5ABB2FB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c>
          <w:tcPr>
            <w:tcW w:w="771" w:type="pct"/>
            <w:vMerge w:val="continue"/>
            <w:noWrap w:val="0"/>
            <w:vAlign w:val="center"/>
          </w:tcPr>
          <w:p w14:paraId="2EABBC3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2FE5ACC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校友名片管理</w:t>
            </w:r>
          </w:p>
        </w:tc>
        <w:tc>
          <w:tcPr>
            <w:tcW w:w="2693" w:type="pct"/>
            <w:noWrap w:val="0"/>
            <w:vAlign w:val="center"/>
          </w:tcPr>
          <w:p w14:paraId="513AE10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实现校友名片的统一管理，能够进行图形方式和表格方式等多种方式展现，管理员可通过后台直接登记名片，同时可通过掌上管理平台维护名片夹，名片信息自动入库，并关联到对应校友。</w:t>
            </w:r>
          </w:p>
        </w:tc>
      </w:tr>
      <w:tr w14:paraId="119F2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0" w:hRule="atLeast"/>
        </w:trPr>
        <w:tc>
          <w:tcPr>
            <w:tcW w:w="535" w:type="pct"/>
            <w:noWrap w:val="0"/>
            <w:vAlign w:val="center"/>
          </w:tcPr>
          <w:p w14:paraId="224583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w:t>
            </w:r>
          </w:p>
        </w:tc>
        <w:tc>
          <w:tcPr>
            <w:tcW w:w="771" w:type="pct"/>
            <w:vMerge w:val="continue"/>
            <w:noWrap w:val="0"/>
            <w:vAlign w:val="center"/>
          </w:tcPr>
          <w:p w14:paraId="21FBC7E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5DD285F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校友数据导入导出</w:t>
            </w:r>
          </w:p>
        </w:tc>
        <w:tc>
          <w:tcPr>
            <w:tcW w:w="2693" w:type="pct"/>
            <w:noWrap w:val="0"/>
            <w:vAlign w:val="center"/>
          </w:tcPr>
          <w:p w14:paraId="47A8F78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提供校友信息批量导入功能，可基于模板整理校友信息后批量导入，系统自动识别导入数据，对重复数据进行查重合并。</w:t>
            </w:r>
          </w:p>
          <w:p w14:paraId="3EED87F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提供校友信息批量导出功能，可根据查询出的校友信息，选择部分或全部进行导出。能够进行导出字段的选择配置。</w:t>
            </w:r>
          </w:p>
        </w:tc>
      </w:tr>
      <w:tr w14:paraId="5378B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3BA6BAF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w:t>
            </w:r>
          </w:p>
        </w:tc>
        <w:tc>
          <w:tcPr>
            <w:tcW w:w="771" w:type="pct"/>
            <w:vMerge w:val="restart"/>
            <w:noWrap w:val="0"/>
            <w:vAlign w:val="center"/>
          </w:tcPr>
          <w:p w14:paraId="22F381F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重点校友数据</w:t>
            </w:r>
          </w:p>
        </w:tc>
        <w:tc>
          <w:tcPr>
            <w:tcW w:w="999" w:type="pct"/>
            <w:noWrap w:val="0"/>
            <w:vAlign w:val="center"/>
          </w:tcPr>
          <w:p w14:paraId="532975C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重点校友信息</w:t>
            </w:r>
          </w:p>
        </w:tc>
        <w:tc>
          <w:tcPr>
            <w:tcW w:w="2693" w:type="pct"/>
            <w:noWrap w:val="0"/>
            <w:vAlign w:val="center"/>
          </w:tcPr>
          <w:p w14:paraId="1E01E411">
            <w:pPr>
              <w:pageBreakBefore w:val="0"/>
              <w:widowControl w:val="0"/>
              <w:kinsoku/>
              <w:wordWrap/>
              <w:overflowPunct/>
              <w:topLinePunct w:val="0"/>
              <w:bidi w:val="0"/>
              <w:spacing w:line="36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基于已掌握的校友名单，持续爬取校友最新信息，可显示已爬取的校友总数，每个校友信息包含校友的学习经历和工作经历，系统可以根据校友信息自动添加智能化标签。</w:t>
            </w:r>
          </w:p>
        </w:tc>
      </w:tr>
      <w:tr w14:paraId="4C802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697A7CC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w:t>
            </w:r>
          </w:p>
        </w:tc>
        <w:tc>
          <w:tcPr>
            <w:tcW w:w="771" w:type="pct"/>
            <w:vMerge w:val="continue"/>
            <w:noWrap w:val="0"/>
            <w:vAlign w:val="center"/>
          </w:tcPr>
          <w:p w14:paraId="36988CF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4"/>
                <w:szCs w:val="24"/>
                <w:lang w:val="en-US" w:eastAsia="zh-CN" w:bidi="ar-SA"/>
              </w:rPr>
            </w:pPr>
          </w:p>
        </w:tc>
        <w:tc>
          <w:tcPr>
            <w:tcW w:w="999" w:type="pct"/>
            <w:noWrap w:val="0"/>
            <w:vAlign w:val="center"/>
          </w:tcPr>
          <w:p w14:paraId="16FEBE5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重点校友动态</w:t>
            </w:r>
          </w:p>
        </w:tc>
        <w:tc>
          <w:tcPr>
            <w:tcW w:w="2693" w:type="pct"/>
            <w:noWrap w:val="0"/>
            <w:vAlign w:val="center"/>
          </w:tcPr>
          <w:p w14:paraId="7000AF48">
            <w:pPr>
              <w:pageBreakBefore w:val="0"/>
              <w:widowControl w:val="0"/>
              <w:kinsoku/>
              <w:wordWrap/>
              <w:overflowPunct/>
              <w:topLinePunct w:val="0"/>
              <w:bidi w:val="0"/>
              <w:spacing w:line="36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支持用户选择跟踪的校友，系统根据网络爬取的新闻定期推送已关注的校友动态，用户可查看相关校友的最新动态。</w:t>
            </w:r>
          </w:p>
          <w:p w14:paraId="6C4D0B77">
            <w:pPr>
              <w:pageBreakBefore w:val="0"/>
              <w:widowControl w:val="0"/>
              <w:kinsoku/>
              <w:wordWrap/>
              <w:overflowPunct/>
              <w:topLinePunct w:val="0"/>
              <w:bidi w:val="0"/>
              <w:spacing w:line="36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同时支持和校方共建动态跟踪名单。</w:t>
            </w:r>
          </w:p>
          <w:p w14:paraId="42959001">
            <w:pPr>
              <w:pageBreakBefore w:val="0"/>
              <w:widowControl w:val="0"/>
              <w:kinsoku/>
              <w:wordWrap/>
              <w:overflowPunct/>
              <w:topLinePunct w:val="0"/>
              <w:bidi w:val="0"/>
              <w:spacing w:line="360" w:lineRule="auto"/>
              <w:ind w:firstLine="0" w:firstLineChars="0"/>
              <w:jc w:val="both"/>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系统同时支持展示校友的学习经历和单位、职务。</w:t>
            </w:r>
          </w:p>
        </w:tc>
      </w:tr>
      <w:tr w14:paraId="075A1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327C2BA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w:t>
            </w:r>
          </w:p>
        </w:tc>
        <w:tc>
          <w:tcPr>
            <w:tcW w:w="771" w:type="pct"/>
            <w:vMerge w:val="restart"/>
            <w:noWrap w:val="0"/>
            <w:vAlign w:val="center"/>
          </w:tcPr>
          <w:p w14:paraId="62E3EFD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校友数据加工</w:t>
            </w:r>
          </w:p>
        </w:tc>
        <w:tc>
          <w:tcPr>
            <w:tcW w:w="999" w:type="pct"/>
            <w:noWrap w:val="0"/>
            <w:vAlign w:val="center"/>
          </w:tcPr>
          <w:p w14:paraId="4A699F3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列表次序管理</w:t>
            </w:r>
          </w:p>
        </w:tc>
        <w:tc>
          <w:tcPr>
            <w:tcW w:w="2693" w:type="pct"/>
            <w:noWrap w:val="0"/>
            <w:vAlign w:val="center"/>
          </w:tcPr>
          <w:p w14:paraId="39749A1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调整校友信息列表字段的显示顺序，可同步调整“校友信息管理”和“校友综合查询”列表页的字段顺序，对所有用户生效</w:t>
            </w:r>
          </w:p>
        </w:tc>
      </w:tr>
      <w:tr w14:paraId="0CEFC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3C4ABDB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25</w:t>
            </w:r>
          </w:p>
        </w:tc>
        <w:tc>
          <w:tcPr>
            <w:tcW w:w="771" w:type="pct"/>
            <w:vMerge w:val="continue"/>
            <w:noWrap w:val="0"/>
            <w:vAlign w:val="center"/>
          </w:tcPr>
          <w:p w14:paraId="4F0701E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4291D36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查重合并</w:t>
            </w:r>
          </w:p>
        </w:tc>
        <w:tc>
          <w:tcPr>
            <w:tcW w:w="2693" w:type="pct"/>
            <w:noWrap w:val="0"/>
            <w:vAlign w:val="center"/>
          </w:tcPr>
          <w:p w14:paraId="763167B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系统提供校友数据查重功能，基于特定条件查重合并校友，辅助管理员对数据进行清洗。</w:t>
            </w:r>
          </w:p>
          <w:p w14:paraId="45253A9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提供校友数据合并功能，能够智能合并和手动合并二种方式，能够合并数据回滚功能。</w:t>
            </w:r>
          </w:p>
        </w:tc>
      </w:tr>
      <w:tr w14:paraId="025CC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56EF762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w:t>
            </w:r>
          </w:p>
        </w:tc>
        <w:tc>
          <w:tcPr>
            <w:tcW w:w="771" w:type="pct"/>
            <w:vMerge w:val="continue"/>
            <w:noWrap w:val="0"/>
            <w:vAlign w:val="center"/>
          </w:tcPr>
          <w:p w14:paraId="2DA9D6B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131477E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校友字段生成</w:t>
            </w:r>
          </w:p>
        </w:tc>
        <w:tc>
          <w:tcPr>
            <w:tcW w:w="2693" w:type="pct"/>
            <w:noWrap w:val="0"/>
            <w:vAlign w:val="center"/>
          </w:tcPr>
          <w:p w14:paraId="1B5385F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结合校友已有字段，自动生成和校友相关的其他字段，方便校友办管理员全方位了解校友状况。如：基于身份证判断校友性别和出生日期并自动补充性别和出生日期数据。</w:t>
            </w:r>
          </w:p>
        </w:tc>
      </w:tr>
      <w:tr w14:paraId="5A205C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524150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26</w:t>
            </w:r>
          </w:p>
        </w:tc>
        <w:tc>
          <w:tcPr>
            <w:tcW w:w="771" w:type="pct"/>
            <w:vMerge w:val="continue"/>
            <w:noWrap w:val="0"/>
            <w:vAlign w:val="center"/>
          </w:tcPr>
          <w:p w14:paraId="419EDA3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10833CD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校友日志查询</w:t>
            </w:r>
          </w:p>
        </w:tc>
        <w:tc>
          <w:tcPr>
            <w:tcW w:w="2693" w:type="pct"/>
            <w:noWrap w:val="0"/>
            <w:vAlign w:val="center"/>
          </w:tcPr>
          <w:p w14:paraId="787730B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记录校友信息修改的详细日志，包括修改人、修改时间、修改内容等。</w:t>
            </w:r>
          </w:p>
        </w:tc>
      </w:tr>
      <w:tr w14:paraId="724F2D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11E601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27</w:t>
            </w:r>
          </w:p>
        </w:tc>
        <w:tc>
          <w:tcPr>
            <w:tcW w:w="771" w:type="pct"/>
            <w:vMerge w:val="restart"/>
            <w:noWrap w:val="0"/>
            <w:vAlign w:val="center"/>
          </w:tcPr>
          <w:p w14:paraId="69688E4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综合统计分析</w:t>
            </w:r>
          </w:p>
        </w:tc>
        <w:tc>
          <w:tcPr>
            <w:tcW w:w="999" w:type="pct"/>
            <w:noWrap w:val="0"/>
            <w:vAlign w:val="center"/>
          </w:tcPr>
          <w:p w14:paraId="106C450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校友综合统计</w:t>
            </w:r>
          </w:p>
        </w:tc>
        <w:tc>
          <w:tcPr>
            <w:tcW w:w="2693" w:type="pct"/>
            <w:noWrap w:val="0"/>
            <w:vAlign w:val="center"/>
          </w:tcPr>
          <w:p w14:paraId="462FA0D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校友综合统计能够进行以下多种统计类别，包括：</w:t>
            </w:r>
          </w:p>
          <w:p w14:paraId="3DF9745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1、统计注册情况，可对注册时间、所属二级学院、班级等进行分类统计；</w:t>
            </w:r>
          </w:p>
          <w:p w14:paraId="7994D65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2、统计校友信息，可对现属二级学院、地区、行业等进行分类统计；</w:t>
            </w:r>
          </w:p>
          <w:p w14:paraId="39FE148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3、统计名册数据，能够按现属二级学院、入学年等进行统计；</w:t>
            </w:r>
          </w:p>
          <w:p w14:paraId="1346325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4、统计组织数据，能够按不同组织维度进行统计，如地方校友、行业校友、兴趣组织等；</w:t>
            </w:r>
          </w:p>
          <w:p w14:paraId="102DFE2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统计数据能够导出和打印。</w:t>
            </w:r>
          </w:p>
        </w:tc>
      </w:tr>
      <w:tr w14:paraId="0D3877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0FDC8F4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28</w:t>
            </w:r>
          </w:p>
        </w:tc>
        <w:tc>
          <w:tcPr>
            <w:tcW w:w="771" w:type="pct"/>
            <w:vMerge w:val="continue"/>
            <w:noWrap w:val="0"/>
            <w:vAlign w:val="center"/>
          </w:tcPr>
          <w:p w14:paraId="6AC8E3D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0DA6DEB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校友分布看板</w:t>
            </w:r>
          </w:p>
        </w:tc>
        <w:tc>
          <w:tcPr>
            <w:tcW w:w="2693" w:type="pct"/>
            <w:noWrap w:val="0"/>
            <w:vAlign w:val="center"/>
          </w:tcPr>
          <w:p w14:paraId="71A8CC5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以九宫格的形式，统计校友数据，能够图和表形式展示，能够筛选数据项快速查看图表。</w:t>
            </w:r>
          </w:p>
        </w:tc>
      </w:tr>
      <w:tr w14:paraId="0B440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4" w:hRule="atLeast"/>
        </w:trPr>
        <w:tc>
          <w:tcPr>
            <w:tcW w:w="535" w:type="pct"/>
            <w:noWrap w:val="0"/>
            <w:vAlign w:val="center"/>
          </w:tcPr>
          <w:p w14:paraId="608B2D2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29</w:t>
            </w:r>
          </w:p>
        </w:tc>
        <w:tc>
          <w:tcPr>
            <w:tcW w:w="771" w:type="pct"/>
            <w:vMerge w:val="continue"/>
            <w:noWrap w:val="0"/>
            <w:vAlign w:val="center"/>
          </w:tcPr>
          <w:p w14:paraId="1CBF9C2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0FC04D8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校友名册统计</w:t>
            </w:r>
          </w:p>
        </w:tc>
        <w:tc>
          <w:tcPr>
            <w:tcW w:w="2693" w:type="pct"/>
            <w:noWrap w:val="0"/>
            <w:vAlign w:val="center"/>
          </w:tcPr>
          <w:p w14:paraId="20FA688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bCs/>
                <w:kern w:val="2"/>
                <w:sz w:val="24"/>
                <w:szCs w:val="24"/>
                <w:lang w:val="en-US" w:eastAsia="zh-CN" w:bidi="ar-SA"/>
              </w:rPr>
            </w:pPr>
            <w:r>
              <w:rPr>
                <w:rFonts w:hint="eastAsia" w:ascii="宋体" w:hAnsi="宋体" w:eastAsia="宋体" w:cs="宋体"/>
                <w:kern w:val="2"/>
                <w:sz w:val="24"/>
                <w:szCs w:val="24"/>
                <w:lang w:val="en-US" w:eastAsia="zh-CN" w:bidi="ar-SA"/>
              </w:rPr>
              <w:t>统计名册情况，以表格的方式展示，可选现属二级学院和时间区间统计，能够按照人数、学院数、专业数、班级数等进行分类统计。</w:t>
            </w:r>
          </w:p>
        </w:tc>
      </w:tr>
      <w:tr w14:paraId="64C88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3978D55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30</w:t>
            </w:r>
          </w:p>
        </w:tc>
        <w:tc>
          <w:tcPr>
            <w:tcW w:w="771" w:type="pct"/>
            <w:vMerge w:val="continue"/>
            <w:noWrap w:val="0"/>
            <w:vAlign w:val="center"/>
          </w:tcPr>
          <w:p w14:paraId="2ECA900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14F7F5E0">
            <w:pPr>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bCs/>
                <w:sz w:val="24"/>
                <w:szCs w:val="24"/>
                <w:lang w:val="en-US" w:eastAsia="zh-CN" w:bidi="ar-SA"/>
              </w:rPr>
            </w:pPr>
            <w:r>
              <w:rPr>
                <w:rFonts w:hint="eastAsia" w:ascii="宋体" w:hAnsi="宋体" w:eastAsia="宋体" w:cs="宋体"/>
                <w:sz w:val="24"/>
                <w:szCs w:val="24"/>
              </w:rPr>
              <w:t>组织运营统计</w:t>
            </w:r>
          </w:p>
        </w:tc>
        <w:tc>
          <w:tcPr>
            <w:tcW w:w="2693" w:type="pct"/>
            <w:noWrap w:val="0"/>
            <w:vAlign w:val="center"/>
          </w:tcPr>
          <w:p w14:paraId="40EEF929">
            <w:pPr>
              <w:keepNext w:val="0"/>
              <w:keepLines w:val="0"/>
              <w:pageBreakBefore w:val="0"/>
              <w:kinsoku/>
              <w:wordWrap/>
              <w:overflowPunct/>
              <w:topLinePunct w:val="0"/>
              <w:autoSpaceDE/>
              <w:autoSpaceDN/>
              <w:bidi w:val="0"/>
              <w:adjustRightInd/>
              <w:snapToGrid/>
              <w:spacing w:line="360" w:lineRule="auto"/>
              <w:ind w:firstLine="0" w:firstLineChars="0"/>
              <w:jc w:val="left"/>
              <w:textAlignment w:val="auto"/>
              <w:rPr>
                <w:rFonts w:hint="eastAsia" w:ascii="宋体" w:hAnsi="宋体" w:eastAsia="宋体" w:cs="宋体"/>
                <w:bCs/>
                <w:sz w:val="24"/>
                <w:szCs w:val="24"/>
                <w:lang w:val="en-US" w:eastAsia="zh-CN" w:bidi="ar-SA"/>
              </w:rPr>
            </w:pPr>
            <w:r>
              <w:rPr>
                <w:rFonts w:hint="eastAsia" w:ascii="宋体" w:hAnsi="宋体" w:eastAsia="宋体" w:cs="宋体"/>
                <w:sz w:val="24"/>
                <w:szCs w:val="24"/>
              </w:rPr>
              <w:t>统计各组织成员数、成员激活比例数、活动数、联系人信息等进行统计，统计数据</w:t>
            </w:r>
            <w:r>
              <w:rPr>
                <w:rFonts w:hint="eastAsia" w:ascii="宋体" w:hAnsi="宋体" w:eastAsia="宋体" w:cs="宋体"/>
                <w:sz w:val="24"/>
                <w:szCs w:val="24"/>
                <w:lang w:eastAsia="zh-CN"/>
              </w:rPr>
              <w:t>能够</w:t>
            </w:r>
            <w:r>
              <w:rPr>
                <w:rFonts w:hint="eastAsia" w:ascii="宋体" w:hAnsi="宋体" w:eastAsia="宋体" w:cs="宋体"/>
                <w:sz w:val="24"/>
                <w:szCs w:val="24"/>
              </w:rPr>
              <w:t>导出；点击对应组织可查看组织详情。</w:t>
            </w:r>
          </w:p>
        </w:tc>
      </w:tr>
      <w:tr w14:paraId="6005F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52227EB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31</w:t>
            </w:r>
          </w:p>
        </w:tc>
        <w:tc>
          <w:tcPr>
            <w:tcW w:w="771" w:type="pct"/>
            <w:vMerge w:val="continue"/>
            <w:noWrap w:val="0"/>
            <w:vAlign w:val="center"/>
          </w:tcPr>
          <w:p w14:paraId="74AB149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7DC028F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现属二级学院管理</w:t>
            </w:r>
          </w:p>
        </w:tc>
        <w:tc>
          <w:tcPr>
            <w:tcW w:w="2693" w:type="pct"/>
            <w:noWrap w:val="0"/>
            <w:vAlign w:val="center"/>
          </w:tcPr>
          <w:p w14:paraId="040A475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管理学校现有二级学院，该数据可以控制用户权限，用户只能查看自己所属学院的校友和名册。</w:t>
            </w:r>
          </w:p>
        </w:tc>
      </w:tr>
      <w:tr w14:paraId="280D8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7243747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32</w:t>
            </w:r>
          </w:p>
        </w:tc>
        <w:tc>
          <w:tcPr>
            <w:tcW w:w="771" w:type="pct"/>
            <w:vMerge w:val="continue"/>
            <w:noWrap w:val="0"/>
            <w:vAlign w:val="center"/>
          </w:tcPr>
          <w:p w14:paraId="2048EAB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4B32244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基本信息管理</w:t>
            </w:r>
          </w:p>
        </w:tc>
        <w:tc>
          <w:tcPr>
            <w:tcW w:w="2693" w:type="pct"/>
            <w:noWrap w:val="0"/>
            <w:vAlign w:val="center"/>
          </w:tcPr>
          <w:p w14:paraId="05D1A9A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提供组织信息维护功能，组织管理员可以编辑组织相关信息，包括基本信息、联系信息、详情信息等。</w:t>
            </w:r>
          </w:p>
        </w:tc>
      </w:tr>
      <w:tr w14:paraId="4C610F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6272A4D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33</w:t>
            </w:r>
          </w:p>
        </w:tc>
        <w:tc>
          <w:tcPr>
            <w:tcW w:w="771" w:type="pct"/>
            <w:vMerge w:val="continue"/>
            <w:noWrap w:val="0"/>
            <w:vAlign w:val="center"/>
          </w:tcPr>
          <w:p w14:paraId="1465A45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35ED0D0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理事成员管理</w:t>
            </w:r>
          </w:p>
        </w:tc>
        <w:tc>
          <w:tcPr>
            <w:tcW w:w="2693" w:type="pct"/>
            <w:noWrap w:val="0"/>
            <w:vAlign w:val="top"/>
          </w:tcPr>
          <w:p w14:paraId="36F3A21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提供组织校友办管理功能，包括组织架构等信息管理。</w:t>
            </w:r>
          </w:p>
        </w:tc>
      </w:tr>
      <w:tr w14:paraId="78C79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6C8BFF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34</w:t>
            </w:r>
          </w:p>
        </w:tc>
        <w:tc>
          <w:tcPr>
            <w:tcW w:w="771" w:type="pct"/>
            <w:vMerge w:val="continue"/>
            <w:noWrap w:val="0"/>
            <w:vAlign w:val="center"/>
          </w:tcPr>
          <w:p w14:paraId="24E05CA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11D64F4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组织成员管理</w:t>
            </w:r>
          </w:p>
        </w:tc>
        <w:tc>
          <w:tcPr>
            <w:tcW w:w="2693" w:type="pct"/>
            <w:noWrap w:val="0"/>
            <w:vAlign w:val="top"/>
          </w:tcPr>
          <w:p w14:paraId="6B13D91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组织成员管理功能，组织管理员可以对组织的成员通讯录进行统一管理。提供组织成员通讯收集功能，能够对成员信息的批量导入与导出。提供成员加入审核功能，组织管理员可以对前端申请加入组织的用户进行审核处理。</w:t>
            </w:r>
          </w:p>
        </w:tc>
      </w:tr>
      <w:tr w14:paraId="34D50C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6888213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35</w:t>
            </w:r>
          </w:p>
        </w:tc>
        <w:tc>
          <w:tcPr>
            <w:tcW w:w="771" w:type="pct"/>
            <w:vMerge w:val="continue"/>
            <w:noWrap w:val="0"/>
            <w:vAlign w:val="center"/>
          </w:tcPr>
          <w:p w14:paraId="672F61C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18F9FB8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活动管理</w:t>
            </w:r>
          </w:p>
        </w:tc>
        <w:tc>
          <w:tcPr>
            <w:tcW w:w="2693" w:type="pct"/>
            <w:noWrap w:val="0"/>
            <w:vAlign w:val="top"/>
          </w:tcPr>
          <w:p w14:paraId="62A2BE7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提供组织活动发布与管理功能，组织管理员可以管理本组织所有活动。提供组织成员移动端活动发布功能，组织管理员可对成员发布的活动进行审核处理。</w:t>
            </w:r>
          </w:p>
        </w:tc>
      </w:tr>
      <w:tr w14:paraId="7D531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2DE8339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36</w:t>
            </w:r>
          </w:p>
        </w:tc>
        <w:tc>
          <w:tcPr>
            <w:tcW w:w="771" w:type="pct"/>
            <w:vMerge w:val="continue"/>
            <w:noWrap w:val="0"/>
            <w:vAlign w:val="center"/>
          </w:tcPr>
          <w:p w14:paraId="02405C3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2A8BCBB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资讯管理</w:t>
            </w:r>
          </w:p>
        </w:tc>
        <w:tc>
          <w:tcPr>
            <w:tcW w:w="2693" w:type="pct"/>
            <w:noWrap w:val="0"/>
            <w:vAlign w:val="top"/>
          </w:tcPr>
          <w:p w14:paraId="6090C5D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提供校友组织资讯发布与管理功能，能够组织动态和组织公告管理。</w:t>
            </w:r>
          </w:p>
        </w:tc>
      </w:tr>
      <w:tr w14:paraId="25210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2C323D8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37</w:t>
            </w:r>
          </w:p>
        </w:tc>
        <w:tc>
          <w:tcPr>
            <w:tcW w:w="771" w:type="pct"/>
            <w:vMerge w:val="continue"/>
            <w:noWrap w:val="0"/>
            <w:vAlign w:val="center"/>
          </w:tcPr>
          <w:p w14:paraId="72AD9CD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5060B35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照片管理</w:t>
            </w:r>
          </w:p>
        </w:tc>
        <w:tc>
          <w:tcPr>
            <w:tcW w:w="2693" w:type="pct"/>
            <w:noWrap w:val="0"/>
            <w:vAlign w:val="top"/>
          </w:tcPr>
          <w:p w14:paraId="1A55D31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提供校友组织相册管理功能，组织管理员可以维护本组织所有相册及其照片信息。提供组织成员移动端创建相册功能，组织管理员可对成员创建的相册进行审核处理。</w:t>
            </w:r>
          </w:p>
        </w:tc>
      </w:tr>
      <w:tr w14:paraId="6A385F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2EBF35D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38</w:t>
            </w:r>
          </w:p>
        </w:tc>
        <w:tc>
          <w:tcPr>
            <w:tcW w:w="771" w:type="pct"/>
            <w:vMerge w:val="continue"/>
            <w:noWrap w:val="0"/>
            <w:vAlign w:val="center"/>
          </w:tcPr>
          <w:p w14:paraId="6D73248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5A4C1E3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留言管理</w:t>
            </w:r>
          </w:p>
        </w:tc>
        <w:tc>
          <w:tcPr>
            <w:tcW w:w="2693" w:type="pct"/>
            <w:noWrap w:val="0"/>
            <w:vAlign w:val="top"/>
          </w:tcPr>
          <w:p w14:paraId="0461100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提供校友组织留言功能，用户可以给组织管理员发布留言，组织管理员可对用户留言进行审核发布并回复。</w:t>
            </w:r>
          </w:p>
        </w:tc>
      </w:tr>
      <w:tr w14:paraId="61835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1A7D04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39</w:t>
            </w:r>
          </w:p>
        </w:tc>
        <w:tc>
          <w:tcPr>
            <w:tcW w:w="771" w:type="pct"/>
            <w:vMerge w:val="continue"/>
            <w:noWrap w:val="0"/>
            <w:vAlign w:val="center"/>
          </w:tcPr>
          <w:p w14:paraId="4DD7CEA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58D79B7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组织微门户</w:t>
            </w:r>
          </w:p>
        </w:tc>
        <w:tc>
          <w:tcPr>
            <w:tcW w:w="2693" w:type="pct"/>
            <w:noWrap w:val="0"/>
            <w:vAlign w:val="top"/>
          </w:tcPr>
          <w:p w14:paraId="4391513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提供移动端组织微门户，可为每个校友组织自动生成移动端微门户，各微门户相互独立，由各组织管理员自行维护、管理及运营。</w:t>
            </w:r>
          </w:p>
        </w:tc>
      </w:tr>
      <w:tr w14:paraId="74D1E4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7ACBCA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40</w:t>
            </w:r>
          </w:p>
        </w:tc>
        <w:tc>
          <w:tcPr>
            <w:tcW w:w="771" w:type="pct"/>
            <w:vMerge w:val="restart"/>
            <w:noWrap w:val="0"/>
            <w:vAlign w:val="center"/>
          </w:tcPr>
          <w:p w14:paraId="1655CFE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校友活动管理</w:t>
            </w:r>
          </w:p>
        </w:tc>
        <w:tc>
          <w:tcPr>
            <w:tcW w:w="999" w:type="pct"/>
            <w:noWrap w:val="0"/>
            <w:vAlign w:val="center"/>
          </w:tcPr>
          <w:p w14:paraId="67BDC5F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活动发起与审核</w:t>
            </w:r>
          </w:p>
        </w:tc>
        <w:tc>
          <w:tcPr>
            <w:tcW w:w="2693" w:type="pct"/>
            <w:noWrap w:val="0"/>
            <w:vAlign w:val="center"/>
          </w:tcPr>
          <w:p w14:paraId="1657454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提供活动发起和审核功能，管理员和认证通过的校友都可发起活动。</w:t>
            </w:r>
          </w:p>
          <w:p w14:paraId="5D35E75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对于校友发起的活动，提供活动审核功能，管理员可对成员发起的活动进行审核处理。</w:t>
            </w:r>
          </w:p>
        </w:tc>
      </w:tr>
      <w:tr w14:paraId="791B2C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7F155B9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41</w:t>
            </w:r>
          </w:p>
        </w:tc>
        <w:tc>
          <w:tcPr>
            <w:tcW w:w="771" w:type="pct"/>
            <w:vMerge w:val="continue"/>
            <w:noWrap w:val="0"/>
            <w:vAlign w:val="center"/>
          </w:tcPr>
          <w:p w14:paraId="2F422CA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65C8D38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活动签到</w:t>
            </w:r>
          </w:p>
        </w:tc>
        <w:tc>
          <w:tcPr>
            <w:tcW w:w="2693" w:type="pct"/>
            <w:noWrap w:val="0"/>
            <w:vAlign w:val="center"/>
          </w:tcPr>
          <w:p w14:paraId="296132D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活动报名后可获得电子票二维码，能够扫码签到，签到情况可在后台查看和管理。</w:t>
            </w:r>
          </w:p>
        </w:tc>
      </w:tr>
      <w:tr w14:paraId="0C178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41988E7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42</w:t>
            </w:r>
          </w:p>
        </w:tc>
        <w:tc>
          <w:tcPr>
            <w:tcW w:w="771" w:type="pct"/>
            <w:vMerge w:val="continue"/>
            <w:noWrap w:val="0"/>
            <w:vAlign w:val="center"/>
          </w:tcPr>
          <w:p w14:paraId="5E06CF3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15C282D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活动参与人管理</w:t>
            </w:r>
          </w:p>
        </w:tc>
        <w:tc>
          <w:tcPr>
            <w:tcW w:w="2693" w:type="pct"/>
            <w:noWrap w:val="0"/>
            <w:vAlign w:val="center"/>
          </w:tcPr>
          <w:p w14:paraId="4AD6909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活动能够对所有报名人员进行管理，能够后台新增、删除报名人员；能够查看报名人员的详细信息；能够修改人员签到状态。</w:t>
            </w:r>
          </w:p>
        </w:tc>
      </w:tr>
      <w:tr w14:paraId="2F2E7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7F2F2D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43</w:t>
            </w:r>
          </w:p>
        </w:tc>
        <w:tc>
          <w:tcPr>
            <w:tcW w:w="771" w:type="pct"/>
            <w:vMerge w:val="restart"/>
            <w:noWrap w:val="0"/>
            <w:vAlign w:val="center"/>
          </w:tcPr>
          <w:p w14:paraId="44B7324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校友交往管理</w:t>
            </w:r>
          </w:p>
        </w:tc>
        <w:tc>
          <w:tcPr>
            <w:tcW w:w="999" w:type="pct"/>
            <w:noWrap w:val="0"/>
            <w:vAlign w:val="center"/>
          </w:tcPr>
          <w:p w14:paraId="3B26670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来访管理</w:t>
            </w:r>
          </w:p>
        </w:tc>
        <w:tc>
          <w:tcPr>
            <w:tcW w:w="2693" w:type="pct"/>
            <w:noWrap w:val="0"/>
            <w:vAlign w:val="center"/>
          </w:tcPr>
          <w:p w14:paraId="4DD7AFB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维护校友来访、出访数据，包括访问校友、时间、地点、接待人、拜访内容等。来访信息将自动关联到对应校友。</w:t>
            </w:r>
          </w:p>
        </w:tc>
      </w:tr>
      <w:tr w14:paraId="5B082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3D987A0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44</w:t>
            </w:r>
          </w:p>
        </w:tc>
        <w:tc>
          <w:tcPr>
            <w:tcW w:w="771" w:type="pct"/>
            <w:vMerge w:val="continue"/>
            <w:noWrap w:val="0"/>
            <w:vAlign w:val="center"/>
          </w:tcPr>
          <w:p w14:paraId="7383F8D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58A57F8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电话联系</w:t>
            </w:r>
          </w:p>
        </w:tc>
        <w:tc>
          <w:tcPr>
            <w:tcW w:w="2693" w:type="pct"/>
            <w:noWrap w:val="0"/>
            <w:vAlign w:val="center"/>
          </w:tcPr>
          <w:p w14:paraId="5C443BD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维护校友办与校友之间电话联系信息，联系方式包括接听和呼出，维护内容包括联系校友、工作人员、联系电话、交谈主题和内容等。电话联系信息将自动关联到对应校友。</w:t>
            </w:r>
          </w:p>
        </w:tc>
      </w:tr>
      <w:tr w14:paraId="68A05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7569C6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45</w:t>
            </w:r>
          </w:p>
        </w:tc>
        <w:tc>
          <w:tcPr>
            <w:tcW w:w="771" w:type="pct"/>
            <w:vMerge w:val="restart"/>
            <w:noWrap w:val="0"/>
            <w:vAlign w:val="center"/>
          </w:tcPr>
          <w:p w14:paraId="7CF145F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运营工具管理</w:t>
            </w:r>
          </w:p>
        </w:tc>
        <w:tc>
          <w:tcPr>
            <w:tcW w:w="999" w:type="pct"/>
            <w:noWrap w:val="0"/>
            <w:vAlign w:val="center"/>
          </w:tcPr>
          <w:p w14:paraId="76EB333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邮件群发</w:t>
            </w:r>
          </w:p>
        </w:tc>
        <w:tc>
          <w:tcPr>
            <w:tcW w:w="2693" w:type="pct"/>
            <w:noWrap w:val="0"/>
            <w:vAlign w:val="center"/>
          </w:tcPr>
          <w:p w14:paraId="19F9EC8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系统能够群发邮件，可选邮件群组和邮件模板后，给群组内所有用户发送邮件，可查询发送记录和发送日志。</w:t>
            </w:r>
          </w:p>
        </w:tc>
      </w:tr>
      <w:tr w14:paraId="11CC3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5329062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46</w:t>
            </w:r>
          </w:p>
        </w:tc>
        <w:tc>
          <w:tcPr>
            <w:tcW w:w="771" w:type="pct"/>
            <w:vMerge w:val="continue"/>
            <w:noWrap w:val="0"/>
            <w:vAlign w:val="center"/>
          </w:tcPr>
          <w:p w14:paraId="053D22C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3BA429F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短信群发</w:t>
            </w:r>
          </w:p>
        </w:tc>
        <w:tc>
          <w:tcPr>
            <w:tcW w:w="2693" w:type="pct"/>
            <w:noWrap w:val="0"/>
            <w:vAlign w:val="center"/>
          </w:tcPr>
          <w:p w14:paraId="6456919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系统能够群发短信，可选短信群组和短信模板后，给群组内所有用户发送短信，可查询发送记录和发送日志。</w:t>
            </w:r>
          </w:p>
        </w:tc>
      </w:tr>
      <w:tr w14:paraId="6A5C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6C7D42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47</w:t>
            </w:r>
          </w:p>
        </w:tc>
        <w:tc>
          <w:tcPr>
            <w:tcW w:w="771" w:type="pct"/>
            <w:vMerge w:val="continue"/>
            <w:noWrap w:val="0"/>
            <w:vAlign w:val="center"/>
          </w:tcPr>
          <w:p w14:paraId="4B6100D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4A7BD74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生日祝福</w:t>
            </w:r>
          </w:p>
        </w:tc>
        <w:tc>
          <w:tcPr>
            <w:tcW w:w="2693" w:type="pct"/>
            <w:noWrap w:val="0"/>
            <w:vAlign w:val="center"/>
          </w:tcPr>
          <w:p w14:paraId="30A8A06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实现校友生日祝福管理功能，可基于邮件、短信、微信等自定义生日祝福内容、发送时间，设置生日祝福；系统每天按照设定时间自动筛选当日生日的校友，发送生日祝福。</w:t>
            </w:r>
          </w:p>
        </w:tc>
      </w:tr>
      <w:tr w14:paraId="29CF67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4FFD560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48</w:t>
            </w:r>
          </w:p>
        </w:tc>
        <w:tc>
          <w:tcPr>
            <w:tcW w:w="771" w:type="pct"/>
            <w:vMerge w:val="continue"/>
            <w:noWrap w:val="0"/>
            <w:vAlign w:val="center"/>
          </w:tcPr>
          <w:p w14:paraId="5FEF94F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7E759B5F">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Cs/>
                <w:sz w:val="24"/>
                <w:szCs w:val="24"/>
              </w:rPr>
              <w:t>微网页</w:t>
            </w:r>
          </w:p>
        </w:tc>
        <w:tc>
          <w:tcPr>
            <w:tcW w:w="2693" w:type="pct"/>
            <w:noWrap w:val="0"/>
            <w:vAlign w:val="center"/>
          </w:tcPr>
          <w:p w14:paraId="782EB78E">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Cs/>
                <w:sz w:val="24"/>
                <w:szCs w:val="24"/>
              </w:rPr>
              <w:t>提供图文运营应用工具，帮助校友平台运营人员快速生成微网页，方便宣传和传播。图文</w:t>
            </w:r>
            <w:r>
              <w:rPr>
                <w:rFonts w:hint="eastAsia" w:ascii="宋体" w:hAnsi="宋体" w:eastAsia="宋体" w:cs="宋体"/>
                <w:sz w:val="24"/>
                <w:szCs w:val="24"/>
                <w:lang w:eastAsia="zh-CN"/>
              </w:rPr>
              <w:t>能够进行</w:t>
            </w:r>
            <w:r>
              <w:rPr>
                <w:rFonts w:hint="eastAsia" w:ascii="宋体" w:hAnsi="宋体" w:eastAsia="宋体" w:cs="宋体"/>
                <w:bCs/>
                <w:sz w:val="24"/>
                <w:szCs w:val="24"/>
              </w:rPr>
              <w:t>富媒体编辑。</w:t>
            </w:r>
          </w:p>
        </w:tc>
      </w:tr>
      <w:tr w14:paraId="0FE4F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6405A75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49</w:t>
            </w:r>
          </w:p>
        </w:tc>
        <w:tc>
          <w:tcPr>
            <w:tcW w:w="771" w:type="pct"/>
            <w:vMerge w:val="continue"/>
            <w:noWrap w:val="0"/>
            <w:vAlign w:val="center"/>
          </w:tcPr>
          <w:p w14:paraId="40EBD9F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5588E7FF">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Cs/>
                <w:sz w:val="24"/>
                <w:szCs w:val="24"/>
              </w:rPr>
              <w:t>问卷/投票</w:t>
            </w:r>
          </w:p>
        </w:tc>
        <w:tc>
          <w:tcPr>
            <w:tcW w:w="2693" w:type="pct"/>
            <w:noWrap w:val="0"/>
            <w:vAlign w:val="center"/>
          </w:tcPr>
          <w:p w14:paraId="13B8E67C">
            <w:pPr>
              <w:pageBreakBefore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Cs/>
                <w:sz w:val="24"/>
                <w:szCs w:val="24"/>
              </w:rPr>
              <w:t>提供表单运营应用工具，帮助校友平台运营人员轻松完成各类在线表单数据收集。管理员可在后台快速新建并发布在线表单，校友在线填写表单信息。</w:t>
            </w:r>
            <w:r>
              <w:rPr>
                <w:rFonts w:hint="eastAsia" w:ascii="宋体" w:hAnsi="宋体" w:eastAsia="宋体" w:cs="宋体"/>
                <w:sz w:val="24"/>
                <w:szCs w:val="24"/>
                <w:lang w:eastAsia="zh-CN"/>
              </w:rPr>
              <w:t>能够进行</w:t>
            </w:r>
            <w:r>
              <w:rPr>
                <w:rFonts w:hint="eastAsia" w:ascii="宋体" w:hAnsi="宋体" w:eastAsia="宋体" w:cs="宋体"/>
                <w:bCs/>
                <w:sz w:val="24"/>
                <w:szCs w:val="24"/>
              </w:rPr>
              <w:t>校友实名或匿名填写。表单提供单选、多选、文本、图片、文件等多种题型选择，提供表单数据统计与分析功能，</w:t>
            </w:r>
            <w:r>
              <w:rPr>
                <w:rFonts w:hint="eastAsia" w:ascii="宋体" w:hAnsi="宋体" w:eastAsia="宋体" w:cs="宋体"/>
                <w:sz w:val="24"/>
                <w:szCs w:val="24"/>
                <w:lang w:eastAsia="zh-CN"/>
              </w:rPr>
              <w:t>能够</w:t>
            </w:r>
            <w:r>
              <w:rPr>
                <w:rFonts w:hint="eastAsia" w:ascii="宋体" w:hAnsi="宋体" w:eastAsia="宋体" w:cs="宋体"/>
                <w:bCs/>
                <w:sz w:val="24"/>
                <w:szCs w:val="24"/>
              </w:rPr>
              <w:t>数据导出。</w:t>
            </w:r>
          </w:p>
        </w:tc>
      </w:tr>
      <w:tr w14:paraId="39CCFD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1E1BBB2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50</w:t>
            </w:r>
          </w:p>
        </w:tc>
        <w:tc>
          <w:tcPr>
            <w:tcW w:w="771" w:type="pct"/>
            <w:vMerge w:val="restart"/>
            <w:noWrap w:val="0"/>
            <w:vAlign w:val="center"/>
          </w:tcPr>
          <w:p w14:paraId="5C931FD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权限配置管理</w:t>
            </w:r>
          </w:p>
        </w:tc>
        <w:tc>
          <w:tcPr>
            <w:tcW w:w="999" w:type="pct"/>
            <w:noWrap w:val="0"/>
            <w:vAlign w:val="center"/>
          </w:tcPr>
          <w:p w14:paraId="2096933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用户角色划分</w:t>
            </w:r>
          </w:p>
        </w:tc>
        <w:tc>
          <w:tcPr>
            <w:tcW w:w="2693" w:type="pct"/>
            <w:noWrap w:val="0"/>
            <w:vAlign w:val="center"/>
          </w:tcPr>
          <w:p w14:paraId="219D5DB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基于实际管理需要，可对管理员进行角色划分，包括系统管理员、业务管理员、分级管理员等，可基于不同角色划分不同权限。</w:t>
            </w:r>
          </w:p>
        </w:tc>
      </w:tr>
      <w:tr w14:paraId="26DDC9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6C78F27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51</w:t>
            </w:r>
          </w:p>
        </w:tc>
        <w:tc>
          <w:tcPr>
            <w:tcW w:w="771" w:type="pct"/>
            <w:vMerge w:val="continue"/>
            <w:noWrap w:val="0"/>
            <w:vAlign w:val="center"/>
          </w:tcPr>
          <w:p w14:paraId="467896D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4E22F10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菜单配置</w:t>
            </w:r>
          </w:p>
        </w:tc>
        <w:tc>
          <w:tcPr>
            <w:tcW w:w="2693" w:type="pct"/>
            <w:noWrap w:val="0"/>
            <w:vAlign w:val="center"/>
          </w:tcPr>
          <w:p w14:paraId="3CC5BE6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在用户角色基础上，可配置不同角色的访问菜单及子功能项。</w:t>
            </w:r>
          </w:p>
        </w:tc>
      </w:tr>
      <w:tr w14:paraId="2B3966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35" w:type="pct"/>
            <w:noWrap w:val="0"/>
            <w:vAlign w:val="center"/>
          </w:tcPr>
          <w:p w14:paraId="0F3931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52</w:t>
            </w:r>
          </w:p>
        </w:tc>
        <w:tc>
          <w:tcPr>
            <w:tcW w:w="771" w:type="pct"/>
            <w:vMerge w:val="continue"/>
            <w:noWrap w:val="0"/>
            <w:vAlign w:val="center"/>
          </w:tcPr>
          <w:p w14:paraId="2867DCD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526CE61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字段配置</w:t>
            </w:r>
          </w:p>
        </w:tc>
        <w:tc>
          <w:tcPr>
            <w:tcW w:w="2693" w:type="pct"/>
            <w:noWrap w:val="0"/>
            <w:vAlign w:val="center"/>
          </w:tcPr>
          <w:p w14:paraId="0131F7F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在用户角色基础上，可配置访问校友信息的开放字段，避免核心信息泄露。</w:t>
            </w:r>
          </w:p>
        </w:tc>
      </w:tr>
      <w:tr w14:paraId="0830F7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4EE94A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53</w:t>
            </w:r>
          </w:p>
        </w:tc>
        <w:tc>
          <w:tcPr>
            <w:tcW w:w="771" w:type="pct"/>
            <w:vMerge w:val="continue"/>
            <w:noWrap w:val="0"/>
            <w:vAlign w:val="center"/>
          </w:tcPr>
          <w:p w14:paraId="5832AB1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053C74A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密级配置</w:t>
            </w:r>
          </w:p>
        </w:tc>
        <w:tc>
          <w:tcPr>
            <w:tcW w:w="2693" w:type="pct"/>
            <w:noWrap w:val="0"/>
            <w:vAlign w:val="center"/>
          </w:tcPr>
          <w:p w14:paraId="36BC6EB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校友信息和管理员均设置密级，仅在管理员密级大于等于校友信息密级时才能访问对应信息，避免管理员越权访问。</w:t>
            </w:r>
          </w:p>
        </w:tc>
      </w:tr>
      <w:tr w14:paraId="505A4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3DFB4E0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54</w:t>
            </w:r>
          </w:p>
        </w:tc>
        <w:tc>
          <w:tcPr>
            <w:tcW w:w="771" w:type="pct"/>
            <w:vMerge w:val="continue"/>
            <w:noWrap w:val="0"/>
            <w:vAlign w:val="center"/>
          </w:tcPr>
          <w:p w14:paraId="1CEB878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160D3BE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注册认证配置</w:t>
            </w:r>
          </w:p>
        </w:tc>
        <w:tc>
          <w:tcPr>
            <w:tcW w:w="2693" w:type="pct"/>
            <w:noWrap w:val="0"/>
            <w:vAlign w:val="center"/>
          </w:tcPr>
          <w:p w14:paraId="68521A0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可根据实际情况，配置注册是否需要审核；分级管理员是否有权限审核注册校友；可根据实际情况灵活调整注册流程。</w:t>
            </w:r>
          </w:p>
        </w:tc>
      </w:tr>
      <w:tr w14:paraId="7A2C9E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pct"/>
            <w:noWrap w:val="0"/>
            <w:vAlign w:val="center"/>
          </w:tcPr>
          <w:p w14:paraId="2C32427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55</w:t>
            </w:r>
          </w:p>
        </w:tc>
        <w:tc>
          <w:tcPr>
            <w:tcW w:w="771" w:type="pct"/>
            <w:vMerge w:val="continue"/>
            <w:noWrap w:val="0"/>
            <w:vAlign w:val="center"/>
          </w:tcPr>
          <w:p w14:paraId="50A6269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999" w:type="pct"/>
            <w:noWrap w:val="0"/>
            <w:vAlign w:val="center"/>
          </w:tcPr>
          <w:p w14:paraId="20B73B3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系统日志</w:t>
            </w:r>
          </w:p>
        </w:tc>
        <w:tc>
          <w:tcPr>
            <w:tcW w:w="2693" w:type="pct"/>
            <w:noWrap w:val="0"/>
            <w:vAlign w:val="center"/>
          </w:tcPr>
          <w:p w14:paraId="55A1221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记录系统操作情况。</w:t>
            </w:r>
          </w:p>
        </w:tc>
      </w:tr>
    </w:tbl>
    <w:p w14:paraId="3E06BA06">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0" w:firstLineChars="0"/>
        <w:jc w:val="both"/>
        <w:textAlignment w:val="auto"/>
        <w:outlineLvl w:val="2"/>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校友工作掌上管理模块</w:t>
      </w:r>
    </w:p>
    <w:tbl>
      <w:tblPr>
        <w:tblStyle w:val="21"/>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1495"/>
        <w:gridCol w:w="1470"/>
        <w:gridCol w:w="4793"/>
      </w:tblGrid>
      <w:tr w14:paraId="18CF7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46" w:type="pct"/>
            <w:noWrap w:val="0"/>
            <w:vAlign w:val="center"/>
          </w:tcPr>
          <w:p w14:paraId="0E3261C7">
            <w:pPr>
              <w:keepNext w:val="0"/>
              <w:keepLines w:val="0"/>
              <w:pageBreakBefore w:val="0"/>
              <w:tabs>
                <w:tab w:val="left" w:pos="697"/>
              </w:tabs>
              <w:kinsoku/>
              <w:wordWrap/>
              <w:overflowPunct/>
              <w:topLinePunct w:val="0"/>
              <w:autoSpaceDE/>
              <w:autoSpaceDN/>
              <w:bidi w:val="0"/>
              <w:adjustRightInd/>
              <w:snapToGrid/>
              <w:spacing w:line="360" w:lineRule="auto"/>
              <w:jc w:val="left"/>
              <w:textAlignment w:val="auto"/>
              <w:rPr>
                <w:rFonts w:hint="eastAsia" w:ascii="宋体" w:hAnsi="宋体" w:eastAsia="宋体" w:cs="宋体"/>
                <w:b/>
                <w:bCs w:val="0"/>
                <w:sz w:val="24"/>
                <w:szCs w:val="24"/>
              </w:rPr>
            </w:pPr>
            <w:r>
              <w:rPr>
                <w:rFonts w:hint="eastAsia" w:ascii="宋体" w:hAnsi="宋体" w:eastAsia="宋体" w:cs="宋体"/>
                <w:b/>
                <w:sz w:val="24"/>
                <w:szCs w:val="24"/>
                <w:lang w:val="en-US" w:eastAsia="zh-CN"/>
              </w:rPr>
              <w:t>序号</w:t>
            </w:r>
            <w:r>
              <w:rPr>
                <w:rFonts w:hint="eastAsia" w:ascii="宋体" w:hAnsi="宋体" w:eastAsia="宋体" w:cs="宋体"/>
                <w:sz w:val="24"/>
                <w:szCs w:val="24"/>
                <w:lang w:val="en-US" w:eastAsia="zh-CN"/>
              </w:rPr>
              <w:tab/>
            </w:r>
          </w:p>
        </w:tc>
        <w:tc>
          <w:tcPr>
            <w:tcW w:w="877" w:type="pct"/>
            <w:noWrap w:val="0"/>
            <w:vAlign w:val="center"/>
          </w:tcPr>
          <w:p w14:paraId="1B2C11E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功能模块</w:t>
            </w:r>
          </w:p>
        </w:tc>
        <w:tc>
          <w:tcPr>
            <w:tcW w:w="862" w:type="pct"/>
            <w:noWrap w:val="0"/>
            <w:vAlign w:val="center"/>
          </w:tcPr>
          <w:p w14:paraId="45084E13">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子功能</w:t>
            </w:r>
          </w:p>
        </w:tc>
        <w:tc>
          <w:tcPr>
            <w:tcW w:w="2813" w:type="pct"/>
            <w:noWrap w:val="0"/>
            <w:vAlign w:val="center"/>
          </w:tcPr>
          <w:p w14:paraId="3E360DD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说明</w:t>
            </w:r>
          </w:p>
        </w:tc>
      </w:tr>
      <w:tr w14:paraId="324D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14:paraId="45DFCB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877" w:type="pct"/>
            <w:vMerge w:val="restart"/>
            <w:noWrap w:val="0"/>
            <w:vAlign w:val="center"/>
          </w:tcPr>
          <w:p w14:paraId="0A83E5F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校友信息查询与管理</w:t>
            </w:r>
          </w:p>
        </w:tc>
        <w:tc>
          <w:tcPr>
            <w:tcW w:w="862" w:type="pct"/>
            <w:noWrap w:val="0"/>
            <w:vAlign w:val="center"/>
          </w:tcPr>
          <w:p w14:paraId="6A15B0D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校友数据查询</w:t>
            </w:r>
          </w:p>
        </w:tc>
        <w:tc>
          <w:tcPr>
            <w:tcW w:w="2813" w:type="pct"/>
            <w:noWrap w:val="0"/>
            <w:vAlign w:val="center"/>
          </w:tcPr>
          <w:p w14:paraId="41C15DF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快速查询校友的全方位信息，包括基本信息、交往信息、照片和动态等完整的校友信息，有一百多个字段。信息的来源能够“共建共享”，各级管理员、校友本人均可称为信息完善来源、数据动态更新。</w:t>
            </w:r>
          </w:p>
          <w:p w14:paraId="5CA13D0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系统提供校友信息和校友名册查询功能，管理员可查询对应校友信息，点开可查看校友详情。</w:t>
            </w:r>
          </w:p>
        </w:tc>
      </w:tr>
      <w:tr w14:paraId="29DA78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14:paraId="5C728DD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877" w:type="pct"/>
            <w:vMerge w:val="continue"/>
            <w:noWrap w:val="0"/>
            <w:vAlign w:val="center"/>
          </w:tcPr>
          <w:p w14:paraId="58A63DE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62" w:type="pct"/>
            <w:noWrap w:val="0"/>
            <w:vAlign w:val="center"/>
          </w:tcPr>
          <w:p w14:paraId="65E25E2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基本信息更新</w:t>
            </w:r>
          </w:p>
        </w:tc>
        <w:tc>
          <w:tcPr>
            <w:tcW w:w="2813" w:type="pct"/>
            <w:noWrap w:val="0"/>
            <w:vAlign w:val="center"/>
          </w:tcPr>
          <w:p w14:paraId="1C55BA6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管理员可对查询到的校友信息的常用字段进行编辑和更新，包括手机、电话、邮箱、工作单位、照片等信息。</w:t>
            </w:r>
          </w:p>
        </w:tc>
      </w:tr>
      <w:tr w14:paraId="345DA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14:paraId="6E90884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877" w:type="pct"/>
            <w:vMerge w:val="continue"/>
            <w:noWrap w:val="0"/>
            <w:vAlign w:val="center"/>
          </w:tcPr>
          <w:p w14:paraId="0CB190A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62" w:type="pct"/>
            <w:noWrap w:val="0"/>
            <w:vAlign w:val="center"/>
          </w:tcPr>
          <w:p w14:paraId="4B5C4CB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标签管理</w:t>
            </w:r>
          </w:p>
        </w:tc>
        <w:tc>
          <w:tcPr>
            <w:tcW w:w="2813" w:type="pct"/>
            <w:noWrap w:val="0"/>
            <w:vAlign w:val="center"/>
          </w:tcPr>
          <w:p w14:paraId="7E5368B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系统提供自定义标签的配置与管理，管理员可为每个校友手动设置标签。同时提供智能标签的配置与管理，系统通过配置的条件，给校友设置标签。</w:t>
            </w:r>
          </w:p>
          <w:p w14:paraId="3986A79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系统能够基于标签下拉查询校友。</w:t>
            </w:r>
          </w:p>
        </w:tc>
      </w:tr>
      <w:tr w14:paraId="1341E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14:paraId="012D31E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877" w:type="pct"/>
            <w:vMerge w:val="continue"/>
            <w:noWrap w:val="0"/>
            <w:vAlign w:val="center"/>
          </w:tcPr>
          <w:p w14:paraId="54A608B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62" w:type="pct"/>
            <w:noWrap w:val="0"/>
            <w:vAlign w:val="center"/>
          </w:tcPr>
          <w:p w14:paraId="322864F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交往信息</w:t>
            </w:r>
          </w:p>
        </w:tc>
        <w:tc>
          <w:tcPr>
            <w:tcW w:w="2813" w:type="pct"/>
            <w:noWrap w:val="0"/>
            <w:vAlign w:val="center"/>
          </w:tcPr>
          <w:p w14:paraId="7C06008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系统提供校友和学校交往关系的查询，包含活动参与情况、捐赠参与情况等多种交往。</w:t>
            </w:r>
          </w:p>
        </w:tc>
      </w:tr>
      <w:tr w14:paraId="4902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14:paraId="771B6E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877" w:type="pct"/>
            <w:vMerge w:val="continue"/>
            <w:noWrap w:val="0"/>
            <w:vAlign w:val="center"/>
          </w:tcPr>
          <w:p w14:paraId="0EB9EBF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62" w:type="pct"/>
            <w:noWrap w:val="0"/>
            <w:vAlign w:val="center"/>
          </w:tcPr>
          <w:p w14:paraId="41C553F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照片管理</w:t>
            </w:r>
          </w:p>
        </w:tc>
        <w:tc>
          <w:tcPr>
            <w:tcW w:w="2813" w:type="pct"/>
            <w:noWrap w:val="0"/>
            <w:vAlign w:val="center"/>
          </w:tcPr>
          <w:p w14:paraId="2F2D3CE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系统能够对校友照片进行管理。</w:t>
            </w:r>
          </w:p>
        </w:tc>
      </w:tr>
      <w:tr w14:paraId="088DBC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14:paraId="7677221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877" w:type="pct"/>
            <w:vMerge w:val="restart"/>
            <w:noWrap w:val="0"/>
            <w:vAlign w:val="center"/>
          </w:tcPr>
          <w:p w14:paraId="22680F2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移动端业务场景管理</w:t>
            </w:r>
          </w:p>
        </w:tc>
        <w:tc>
          <w:tcPr>
            <w:tcW w:w="862" w:type="pct"/>
            <w:noWrap w:val="0"/>
            <w:vAlign w:val="center"/>
          </w:tcPr>
          <w:p w14:paraId="06B76DC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校友注册审核</w:t>
            </w:r>
          </w:p>
        </w:tc>
        <w:tc>
          <w:tcPr>
            <w:tcW w:w="2813" w:type="pct"/>
            <w:noWrap w:val="0"/>
            <w:vAlign w:val="center"/>
          </w:tcPr>
          <w:p w14:paraId="3B0631E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有通过、指派、延后和驳回等多种操作方式，移动端快速审核校友注册信息。</w:t>
            </w:r>
          </w:p>
        </w:tc>
      </w:tr>
      <w:tr w14:paraId="05B16D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14:paraId="6AA3554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877" w:type="pct"/>
            <w:vMerge w:val="continue"/>
            <w:noWrap w:val="0"/>
            <w:vAlign w:val="center"/>
          </w:tcPr>
          <w:p w14:paraId="28444C5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62" w:type="pct"/>
            <w:noWrap w:val="0"/>
            <w:vAlign w:val="center"/>
          </w:tcPr>
          <w:p w14:paraId="4A95B4D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交往管理</w:t>
            </w:r>
          </w:p>
        </w:tc>
        <w:tc>
          <w:tcPr>
            <w:tcW w:w="2813" w:type="pct"/>
            <w:noWrap w:val="0"/>
            <w:vAlign w:val="center"/>
          </w:tcPr>
          <w:p w14:paraId="7736A13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实现交往信息筛选、查找和修改功能，可以新增和删除交往信息。</w:t>
            </w:r>
          </w:p>
        </w:tc>
      </w:tr>
      <w:tr w14:paraId="523DF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14:paraId="4A23054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877" w:type="pct"/>
            <w:vMerge w:val="continue"/>
            <w:noWrap w:val="0"/>
            <w:vAlign w:val="center"/>
          </w:tcPr>
          <w:p w14:paraId="199CCF2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62" w:type="pct"/>
            <w:noWrap w:val="0"/>
            <w:vAlign w:val="center"/>
          </w:tcPr>
          <w:p w14:paraId="387FD11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活动管理</w:t>
            </w:r>
          </w:p>
        </w:tc>
        <w:tc>
          <w:tcPr>
            <w:tcW w:w="2813" w:type="pct"/>
            <w:noWrap w:val="0"/>
            <w:vAlign w:val="center"/>
          </w:tcPr>
          <w:p w14:paraId="6859080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实现活动信息的筛选和查找，对相应的活动进行审核。</w:t>
            </w:r>
          </w:p>
        </w:tc>
      </w:tr>
      <w:tr w14:paraId="1932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14:paraId="4675E46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877" w:type="pct"/>
            <w:vMerge w:val="continue"/>
            <w:noWrap w:val="0"/>
            <w:vAlign w:val="center"/>
          </w:tcPr>
          <w:p w14:paraId="4D3B95B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62" w:type="pct"/>
            <w:noWrap w:val="0"/>
            <w:vAlign w:val="center"/>
          </w:tcPr>
          <w:p w14:paraId="6CE2C70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服务申请管理</w:t>
            </w:r>
          </w:p>
        </w:tc>
        <w:tc>
          <w:tcPr>
            <w:tcW w:w="2813" w:type="pct"/>
            <w:noWrap w:val="0"/>
            <w:vAlign w:val="center"/>
          </w:tcPr>
          <w:p w14:paraId="44CA428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实现校友的申请信息进行筛选、搜索和查看。</w:t>
            </w:r>
          </w:p>
        </w:tc>
      </w:tr>
      <w:tr w14:paraId="36AFB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14:paraId="4CA045C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877" w:type="pct"/>
            <w:vMerge w:val="restart"/>
            <w:noWrap w:val="0"/>
            <w:vAlign w:val="center"/>
          </w:tcPr>
          <w:p w14:paraId="1D1DDD5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名单分享及白名单管理</w:t>
            </w:r>
          </w:p>
        </w:tc>
        <w:tc>
          <w:tcPr>
            <w:tcW w:w="862" w:type="pct"/>
            <w:noWrap w:val="0"/>
            <w:vAlign w:val="center"/>
          </w:tcPr>
          <w:p w14:paraId="5E36384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名单分享</w:t>
            </w:r>
          </w:p>
        </w:tc>
        <w:tc>
          <w:tcPr>
            <w:tcW w:w="2813" w:type="pct"/>
            <w:noWrap w:val="0"/>
            <w:vAlign w:val="center"/>
          </w:tcPr>
          <w:p w14:paraId="0078D10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管理员可以将查询到的校友信息生成分享名单进行分享，分享名单能够进行删减、修改、检索等处理，还可以在手机端实时查看分享状态。</w:t>
            </w:r>
          </w:p>
        </w:tc>
      </w:tr>
      <w:tr w14:paraId="6B7FF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46" w:type="pct"/>
            <w:noWrap w:val="0"/>
            <w:vAlign w:val="center"/>
          </w:tcPr>
          <w:p w14:paraId="0C316D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877" w:type="pct"/>
            <w:vMerge w:val="continue"/>
            <w:noWrap w:val="0"/>
            <w:vAlign w:val="center"/>
          </w:tcPr>
          <w:p w14:paraId="4438519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62" w:type="pct"/>
            <w:noWrap w:val="0"/>
            <w:vAlign w:val="center"/>
          </w:tcPr>
          <w:p w14:paraId="71EDFBE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白名单管理</w:t>
            </w:r>
          </w:p>
        </w:tc>
        <w:tc>
          <w:tcPr>
            <w:tcW w:w="2813" w:type="pct"/>
            <w:noWrap w:val="0"/>
            <w:vAlign w:val="center"/>
          </w:tcPr>
          <w:p w14:paraId="1009516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可以创建用户白名单，白名单内的用户，查看分享过来的名单，无需填写密码。</w:t>
            </w:r>
          </w:p>
        </w:tc>
      </w:tr>
    </w:tbl>
    <w:p w14:paraId="0FC16BE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3、校友服务平台模块</w:t>
      </w:r>
    </w:p>
    <w:tbl>
      <w:tblPr>
        <w:tblStyle w:val="20"/>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37"/>
        <w:gridCol w:w="1510"/>
        <w:gridCol w:w="1488"/>
        <w:gridCol w:w="4624"/>
      </w:tblGrid>
      <w:tr w14:paraId="470F3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440" w:type="pct"/>
            <w:shd w:val="clear" w:color="000000" w:fill="FFFFFF"/>
            <w:noWrap w:val="0"/>
            <w:vAlign w:val="center"/>
          </w:tcPr>
          <w:p w14:paraId="26A971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序号</w:t>
            </w:r>
          </w:p>
        </w:tc>
        <w:tc>
          <w:tcPr>
            <w:tcW w:w="903" w:type="pct"/>
            <w:shd w:val="clear" w:color="000000" w:fill="FFFFFF"/>
            <w:noWrap/>
            <w:vAlign w:val="center"/>
          </w:tcPr>
          <w:p w14:paraId="7AD7033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功能模块</w:t>
            </w:r>
          </w:p>
        </w:tc>
        <w:tc>
          <w:tcPr>
            <w:tcW w:w="890" w:type="pct"/>
            <w:shd w:val="clear" w:color="000000" w:fill="FFFFFF"/>
            <w:noWrap w:val="0"/>
            <w:vAlign w:val="center"/>
          </w:tcPr>
          <w:p w14:paraId="0BFE2D3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子功能</w:t>
            </w:r>
          </w:p>
        </w:tc>
        <w:tc>
          <w:tcPr>
            <w:tcW w:w="2765" w:type="pct"/>
            <w:shd w:val="clear" w:color="000000" w:fill="FFFFFF"/>
            <w:noWrap w:val="0"/>
            <w:vAlign w:val="center"/>
          </w:tcPr>
          <w:p w14:paraId="573F028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说明</w:t>
            </w:r>
          </w:p>
        </w:tc>
      </w:tr>
      <w:tr w14:paraId="5E011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262526E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903" w:type="pct"/>
            <w:shd w:val="clear" w:color="000000" w:fill="FFFFFF"/>
            <w:noWrap/>
            <w:vAlign w:val="center"/>
          </w:tcPr>
          <w:p w14:paraId="30761F8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平台首页</w:t>
            </w:r>
          </w:p>
        </w:tc>
        <w:tc>
          <w:tcPr>
            <w:tcW w:w="3655" w:type="pct"/>
            <w:gridSpan w:val="2"/>
            <w:shd w:val="clear" w:color="000000" w:fill="FFFFFF"/>
            <w:noWrap w:val="0"/>
            <w:vAlign w:val="center"/>
          </w:tcPr>
          <w:p w14:paraId="4454A18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提供首页版块，用户可快速查看校友工作最新动态、最新活动、最新校友风采、最新入驻校友企业等信息，还可提供快捷导航功能，方便用户使用平台热门服务或应用。</w:t>
            </w:r>
          </w:p>
          <w:p w14:paraId="182F34F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首页模块能够进行后台灵活配置。</w:t>
            </w:r>
          </w:p>
        </w:tc>
      </w:tr>
      <w:tr w14:paraId="11BA0C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172BE62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903" w:type="pct"/>
            <w:vMerge w:val="restart"/>
            <w:shd w:val="clear" w:color="000000" w:fill="FFFFFF"/>
            <w:noWrap/>
            <w:vAlign w:val="center"/>
          </w:tcPr>
          <w:p w14:paraId="2C7255A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校友身份认证</w:t>
            </w:r>
          </w:p>
        </w:tc>
        <w:tc>
          <w:tcPr>
            <w:tcW w:w="890" w:type="pct"/>
            <w:shd w:val="clear" w:color="000000" w:fill="FFFFFF"/>
            <w:noWrap w:val="0"/>
            <w:vAlign w:val="center"/>
          </w:tcPr>
          <w:p w14:paraId="7A4672A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实名认证</w:t>
            </w:r>
          </w:p>
        </w:tc>
        <w:tc>
          <w:tcPr>
            <w:tcW w:w="2765" w:type="pct"/>
            <w:shd w:val="clear" w:color="000000" w:fill="FFFFFF"/>
            <w:noWrap w:val="0"/>
            <w:vAlign w:val="center"/>
          </w:tcPr>
          <w:p w14:paraId="602F1CC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实名认证能够接入人脸核身服务，可验证校友的真实身份。</w:t>
            </w:r>
          </w:p>
        </w:tc>
      </w:tr>
      <w:tr w14:paraId="1B7BC5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429E25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903" w:type="pct"/>
            <w:vMerge w:val="continue"/>
            <w:shd w:val="clear" w:color="000000" w:fill="FFFFFF"/>
            <w:noWrap/>
            <w:vAlign w:val="center"/>
          </w:tcPr>
          <w:p w14:paraId="5596CB8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90" w:type="pct"/>
            <w:shd w:val="clear" w:color="000000" w:fill="FFFFFF"/>
            <w:noWrap w:val="0"/>
            <w:vAlign w:val="center"/>
          </w:tcPr>
          <w:p w14:paraId="45DAD52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校友身份认证</w:t>
            </w:r>
          </w:p>
        </w:tc>
        <w:tc>
          <w:tcPr>
            <w:tcW w:w="2765" w:type="pct"/>
            <w:shd w:val="clear" w:color="000000" w:fill="FFFFFF"/>
            <w:noWrap w:val="0"/>
            <w:vAlign w:val="center"/>
          </w:tcPr>
          <w:p w14:paraId="096FD19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实现校友注册与身份认证服务，校友可通过手机号、邮箱注册平台账号，能够对国内外校友注册，实现校友统一身份智能认证。</w:t>
            </w:r>
          </w:p>
        </w:tc>
      </w:tr>
      <w:tr w14:paraId="09AF71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50341FE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903" w:type="pct"/>
            <w:vMerge w:val="restart"/>
            <w:shd w:val="clear" w:color="000000" w:fill="FFFFFF"/>
            <w:noWrap/>
            <w:vAlign w:val="center"/>
          </w:tcPr>
          <w:p w14:paraId="543027F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电子校友卡</w:t>
            </w:r>
          </w:p>
        </w:tc>
        <w:tc>
          <w:tcPr>
            <w:tcW w:w="890" w:type="pct"/>
            <w:shd w:val="clear" w:color="000000" w:fill="FFFFFF"/>
            <w:noWrap w:val="0"/>
            <w:vAlign w:val="center"/>
          </w:tcPr>
          <w:p w14:paraId="36EF63F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校友卡申请</w:t>
            </w:r>
          </w:p>
        </w:tc>
        <w:tc>
          <w:tcPr>
            <w:tcW w:w="2765" w:type="pct"/>
            <w:shd w:val="clear" w:color="000000" w:fill="FFFFFF"/>
            <w:noWrap w:val="0"/>
            <w:vAlign w:val="center"/>
          </w:tcPr>
          <w:p w14:paraId="0BB8199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实现电子校友卡的在线申领功能，内置校友身份认证，使校友在申领校友卡的过程中，“无感”认证校友身份，认证通过后，系统自动发放电子校友卡。</w:t>
            </w:r>
          </w:p>
        </w:tc>
      </w:tr>
      <w:tr w14:paraId="6909C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22A2B68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903" w:type="pct"/>
            <w:vMerge w:val="continue"/>
            <w:shd w:val="clear" w:color="000000" w:fill="FFFFFF"/>
            <w:noWrap/>
            <w:vAlign w:val="center"/>
          </w:tcPr>
          <w:p w14:paraId="306204E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90" w:type="pct"/>
            <w:shd w:val="clear" w:color="000000" w:fill="FFFFFF"/>
            <w:noWrap w:val="0"/>
            <w:vAlign w:val="center"/>
          </w:tcPr>
          <w:p w14:paraId="289F140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校友卡申请状态查询</w:t>
            </w:r>
          </w:p>
        </w:tc>
        <w:tc>
          <w:tcPr>
            <w:tcW w:w="2765" w:type="pct"/>
            <w:shd w:val="clear" w:color="000000" w:fill="FFFFFF"/>
            <w:noWrap w:val="0"/>
            <w:vAlign w:val="center"/>
          </w:tcPr>
          <w:p w14:paraId="1188C90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校友可以即时查看校友卡申请状态。</w:t>
            </w:r>
          </w:p>
        </w:tc>
      </w:tr>
      <w:tr w14:paraId="32B5B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0EBDBFC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903" w:type="pct"/>
            <w:vMerge w:val="continue"/>
            <w:shd w:val="clear" w:color="000000" w:fill="FFFFFF"/>
            <w:noWrap/>
            <w:vAlign w:val="center"/>
          </w:tcPr>
          <w:p w14:paraId="7F0547B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90" w:type="pct"/>
            <w:shd w:val="clear" w:color="000000" w:fill="FFFFFF"/>
            <w:noWrap w:val="0"/>
            <w:vAlign w:val="center"/>
          </w:tcPr>
          <w:p w14:paraId="5E15CE7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校友名片交换</w:t>
            </w:r>
          </w:p>
        </w:tc>
        <w:tc>
          <w:tcPr>
            <w:tcW w:w="2765" w:type="pct"/>
            <w:shd w:val="clear" w:color="000000" w:fill="FFFFFF"/>
            <w:noWrap w:val="0"/>
            <w:vAlign w:val="center"/>
          </w:tcPr>
          <w:p w14:paraId="59039AA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亮码后，校友间可以即时进行“校友名片交换”，实现校友面对面联系信息的交换。</w:t>
            </w:r>
          </w:p>
        </w:tc>
      </w:tr>
      <w:tr w14:paraId="081F8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553CAC8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903" w:type="pct"/>
            <w:vMerge w:val="restart"/>
            <w:shd w:val="clear" w:color="000000" w:fill="FFFFFF"/>
            <w:noWrap/>
            <w:vAlign w:val="center"/>
          </w:tcPr>
          <w:p w14:paraId="243C6B31">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返校预约</w:t>
            </w:r>
          </w:p>
        </w:tc>
        <w:tc>
          <w:tcPr>
            <w:tcW w:w="890" w:type="pct"/>
            <w:shd w:val="clear" w:color="000000" w:fill="FFFFFF"/>
            <w:noWrap w:val="0"/>
            <w:vAlign w:val="center"/>
          </w:tcPr>
          <w:p w14:paraId="67D9CD9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我的通行证</w:t>
            </w:r>
          </w:p>
        </w:tc>
        <w:tc>
          <w:tcPr>
            <w:tcW w:w="2765" w:type="pct"/>
            <w:shd w:val="clear" w:color="000000" w:fill="FFFFFF"/>
            <w:noWrap w:val="0"/>
            <w:vAlign w:val="center"/>
          </w:tcPr>
          <w:p w14:paraId="605E9AC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页面展示“我的通行证”，包括“全部”、“生效中”、“已过期”。</w:t>
            </w:r>
          </w:p>
        </w:tc>
      </w:tr>
      <w:tr w14:paraId="591F8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5FB15D3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903" w:type="pct"/>
            <w:vMerge w:val="continue"/>
            <w:shd w:val="clear" w:color="000000" w:fill="FFFFFF"/>
            <w:noWrap/>
            <w:vAlign w:val="center"/>
          </w:tcPr>
          <w:p w14:paraId="2338E96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90" w:type="pct"/>
            <w:shd w:val="clear" w:color="000000" w:fill="FFFFFF"/>
            <w:noWrap w:val="0"/>
            <w:vAlign w:val="center"/>
          </w:tcPr>
          <w:p w14:paraId="00DBD18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通行证详情</w:t>
            </w:r>
          </w:p>
        </w:tc>
        <w:tc>
          <w:tcPr>
            <w:tcW w:w="2765" w:type="pct"/>
            <w:shd w:val="clear" w:color="000000" w:fill="FFFFFF"/>
            <w:noWrap w:val="0"/>
            <w:vAlign w:val="center"/>
          </w:tcPr>
          <w:p w14:paraId="1B9F1EF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点击“生效中”的通行证，可进入通行证详情页，页面展示入校人姓名、入校校区、入校码有效期、随行人姓名、入校码信息。</w:t>
            </w:r>
          </w:p>
        </w:tc>
      </w:tr>
      <w:tr w14:paraId="1E49D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34BC6E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903" w:type="pct"/>
            <w:vMerge w:val="continue"/>
            <w:shd w:val="clear" w:color="000000" w:fill="FFFFFF"/>
            <w:noWrap/>
            <w:vAlign w:val="center"/>
          </w:tcPr>
          <w:p w14:paraId="3BBB452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90" w:type="pct"/>
            <w:shd w:val="clear" w:color="000000" w:fill="FFFFFF"/>
            <w:noWrap w:val="0"/>
            <w:vAlign w:val="center"/>
          </w:tcPr>
          <w:p w14:paraId="50EC2C5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扫码验证</w:t>
            </w:r>
          </w:p>
        </w:tc>
        <w:tc>
          <w:tcPr>
            <w:tcW w:w="2765" w:type="pct"/>
            <w:shd w:val="clear" w:color="000000" w:fill="FFFFFF"/>
            <w:noWrap w:val="0"/>
            <w:vAlign w:val="center"/>
          </w:tcPr>
          <w:p w14:paraId="4E50380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微信扫描“入校码”，页面展示入校人相关信息、随行人信息等，以便核验身份入校。</w:t>
            </w:r>
          </w:p>
        </w:tc>
      </w:tr>
      <w:tr w14:paraId="292A2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7630318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903" w:type="pct"/>
            <w:vMerge w:val="continue"/>
            <w:shd w:val="clear" w:color="000000" w:fill="FFFFFF"/>
            <w:noWrap/>
            <w:vAlign w:val="center"/>
          </w:tcPr>
          <w:p w14:paraId="25CC5F3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890" w:type="pct"/>
            <w:shd w:val="clear" w:color="000000" w:fill="FFFFFF"/>
            <w:noWrap w:val="0"/>
            <w:vAlign w:val="center"/>
          </w:tcPr>
          <w:p w14:paraId="628B401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申请进校</w:t>
            </w:r>
          </w:p>
        </w:tc>
        <w:tc>
          <w:tcPr>
            <w:tcW w:w="2765" w:type="pct"/>
            <w:shd w:val="clear" w:color="000000" w:fill="FFFFFF"/>
            <w:noWrap w:val="0"/>
            <w:vAlign w:val="center"/>
          </w:tcPr>
          <w:p w14:paraId="4AE6AEF0">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申请人填写姓名、手机、身份证、个人头像、入校时间、离校时间、是否驾车、校内联系人、进校事由等信息，提交申请，审核通过即可获得通行证。</w:t>
            </w:r>
          </w:p>
        </w:tc>
      </w:tr>
      <w:tr w14:paraId="51C2CB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10A4DCD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903" w:type="pct"/>
            <w:shd w:val="clear" w:color="000000" w:fill="FFFFFF"/>
            <w:noWrap/>
            <w:vAlign w:val="center"/>
          </w:tcPr>
          <w:p w14:paraId="37B316C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校友组织</w:t>
            </w:r>
          </w:p>
        </w:tc>
        <w:tc>
          <w:tcPr>
            <w:tcW w:w="3655" w:type="pct"/>
            <w:gridSpan w:val="2"/>
            <w:shd w:val="clear" w:color="000000" w:fill="FFFFFF"/>
            <w:noWrap w:val="0"/>
            <w:vAlign w:val="center"/>
          </w:tcPr>
          <w:p w14:paraId="71F28FA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组织包括院系校友、地方校友（国内、海外）、行业俱乐部和特色社区等，管理员后台批量导入后，自动在服务大厅中展示出来；每个校友组织可以指定管理员；管理员可以在线发布组织公告；校友可以线上申请加入校友组织。</w:t>
            </w:r>
          </w:p>
        </w:tc>
      </w:tr>
      <w:tr w14:paraId="7F893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1EB99E2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903" w:type="pct"/>
            <w:shd w:val="clear" w:color="000000" w:fill="FFFFFF"/>
            <w:noWrap/>
            <w:vAlign w:val="center"/>
          </w:tcPr>
          <w:p w14:paraId="5FC6E12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校友活动</w:t>
            </w:r>
          </w:p>
        </w:tc>
        <w:tc>
          <w:tcPr>
            <w:tcW w:w="3655" w:type="pct"/>
            <w:gridSpan w:val="2"/>
            <w:shd w:val="clear" w:color="000000" w:fill="FFFFFF"/>
            <w:noWrap w:val="0"/>
            <w:vAlign w:val="center"/>
          </w:tcPr>
          <w:p w14:paraId="445B6FC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实现全流程的线上活动平台，包括活动的发起、在线报名、在线签到、活动评论、活动掠影、活动信息导出统计等功能。</w:t>
            </w:r>
          </w:p>
        </w:tc>
      </w:tr>
      <w:tr w14:paraId="65430A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6F1B365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903" w:type="pct"/>
            <w:shd w:val="clear" w:color="000000" w:fill="FFFFFF"/>
            <w:noWrap/>
            <w:vAlign w:val="center"/>
          </w:tcPr>
          <w:p w14:paraId="689CAA3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校友期刊</w:t>
            </w:r>
          </w:p>
        </w:tc>
        <w:tc>
          <w:tcPr>
            <w:tcW w:w="3655" w:type="pct"/>
            <w:gridSpan w:val="2"/>
            <w:shd w:val="clear" w:color="000000" w:fill="FFFFFF"/>
            <w:noWrap w:val="0"/>
            <w:vAlign w:val="center"/>
          </w:tcPr>
          <w:p w14:paraId="4EB3E09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校友期刊展示母校资讯、弘扬母校文化、传播母校精神、彰显母校风貌，校友可进入校友期刊随时阅览学校提供的相关杂志、期刊；校友期刊进行分类布局，方便校友可随时随地在线查找、翻阅。</w:t>
            </w:r>
          </w:p>
        </w:tc>
      </w:tr>
      <w:tr w14:paraId="59F0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3F32F9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903" w:type="pct"/>
            <w:shd w:val="clear" w:color="000000" w:fill="FFFFFF"/>
            <w:noWrap/>
            <w:vAlign w:val="center"/>
          </w:tcPr>
          <w:p w14:paraId="28E3378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校友查询</w:t>
            </w:r>
          </w:p>
        </w:tc>
        <w:tc>
          <w:tcPr>
            <w:tcW w:w="3655" w:type="pct"/>
            <w:gridSpan w:val="2"/>
            <w:shd w:val="clear" w:color="000000" w:fill="FFFFFF"/>
            <w:noWrap w:val="0"/>
            <w:vAlign w:val="center"/>
          </w:tcPr>
          <w:p w14:paraId="2B5BEE1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认证通过的输入校友全名或学籍信息查询校友名册信息。</w:t>
            </w:r>
          </w:p>
        </w:tc>
      </w:tr>
      <w:tr w14:paraId="609D9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37AF3D7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903" w:type="pct"/>
            <w:shd w:val="clear" w:color="000000" w:fill="FFFFFF"/>
            <w:noWrap/>
            <w:vAlign w:val="center"/>
          </w:tcPr>
          <w:p w14:paraId="5984D49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寻找校友</w:t>
            </w:r>
          </w:p>
        </w:tc>
        <w:tc>
          <w:tcPr>
            <w:tcW w:w="3655" w:type="pct"/>
            <w:gridSpan w:val="2"/>
            <w:shd w:val="clear" w:color="000000" w:fill="FFFFFF"/>
            <w:noWrap w:val="0"/>
            <w:vAlign w:val="center"/>
          </w:tcPr>
          <w:p w14:paraId="5406A9D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校友可在线查询同行校友、同兴趣校友、同班同学、同专业校友、同年级校友、同地区校友等。</w:t>
            </w:r>
          </w:p>
        </w:tc>
      </w:tr>
      <w:tr w14:paraId="574F6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6CE2A40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w:t>
            </w:r>
          </w:p>
        </w:tc>
        <w:tc>
          <w:tcPr>
            <w:tcW w:w="903" w:type="pct"/>
            <w:shd w:val="clear" w:color="000000" w:fill="FFFFFF"/>
            <w:noWrap/>
            <w:vAlign w:val="center"/>
          </w:tcPr>
          <w:p w14:paraId="677AC44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交换名片</w:t>
            </w:r>
          </w:p>
        </w:tc>
        <w:tc>
          <w:tcPr>
            <w:tcW w:w="3655" w:type="pct"/>
            <w:gridSpan w:val="2"/>
            <w:shd w:val="clear" w:color="000000" w:fill="FFFFFF"/>
            <w:noWrap w:val="0"/>
            <w:vAlign w:val="center"/>
          </w:tcPr>
          <w:p w14:paraId="0141FC5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点击校友头像可以查看校友名片，校友可编辑并完善自己的名片，并能够对名片开放权限的设置，能够和其他校友交换名片。</w:t>
            </w:r>
          </w:p>
        </w:tc>
      </w:tr>
      <w:tr w14:paraId="52FCF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3342E6F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w:t>
            </w:r>
          </w:p>
        </w:tc>
        <w:tc>
          <w:tcPr>
            <w:tcW w:w="903" w:type="pct"/>
            <w:shd w:val="clear" w:color="000000" w:fill="FFFFFF"/>
            <w:noWrap/>
            <w:vAlign w:val="center"/>
          </w:tcPr>
          <w:p w14:paraId="16AC17C6">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校友相册</w:t>
            </w:r>
          </w:p>
        </w:tc>
        <w:tc>
          <w:tcPr>
            <w:tcW w:w="3655" w:type="pct"/>
            <w:gridSpan w:val="2"/>
            <w:shd w:val="clear" w:color="000000" w:fill="FFFFFF"/>
            <w:noWrap w:val="0"/>
            <w:vAlign w:val="center"/>
          </w:tcPr>
          <w:p w14:paraId="0B1A4C3A">
            <w:pPr>
              <w:keepNext w:val="0"/>
              <w:keepLines w:val="0"/>
              <w:pageBreakBefore w:val="0"/>
              <w:widowControl/>
              <w:suppressLineNumbers w:val="0"/>
              <w:kinsoku/>
              <w:wordWrap/>
              <w:overflowPunct/>
              <w:topLinePunct w:val="0"/>
              <w:autoSpaceDE/>
              <w:autoSpaceDN/>
              <w:bidi w:val="0"/>
              <w:adjustRightInd/>
              <w:snapToGrid/>
              <w:spacing w:line="360" w:lineRule="auto"/>
              <w:jc w:val="left"/>
              <w:textAlignment w:val="auto"/>
              <w:rPr>
                <w:rFonts w:hint="eastAsia" w:ascii="宋体" w:hAnsi="宋体" w:eastAsia="宋体" w:cs="宋体"/>
                <w:sz w:val="24"/>
                <w:szCs w:val="24"/>
              </w:rPr>
            </w:pPr>
            <w:r>
              <w:rPr>
                <w:rFonts w:hint="eastAsia" w:ascii="宋体" w:hAnsi="宋体" w:eastAsia="宋体" w:cs="宋体"/>
                <w:bCs/>
                <w:color w:val="000000"/>
                <w:kern w:val="0"/>
                <w:sz w:val="24"/>
                <w:szCs w:val="24"/>
                <w:lang w:val="en-US" w:eastAsia="zh-CN" w:bidi="ar"/>
              </w:rPr>
              <w:t xml:space="preserve">校友共同建立主题相册，相册以瀑布流方式显示，并有评论及点赞功能，评论须后台审核。 </w:t>
            </w:r>
          </w:p>
        </w:tc>
      </w:tr>
      <w:tr w14:paraId="79B5B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35D596B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18</w:t>
            </w:r>
          </w:p>
        </w:tc>
        <w:tc>
          <w:tcPr>
            <w:tcW w:w="903" w:type="pct"/>
            <w:shd w:val="clear" w:color="000000" w:fill="FFFFFF"/>
            <w:noWrap/>
            <w:vAlign w:val="center"/>
          </w:tcPr>
          <w:p w14:paraId="5F65453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校友企业</w:t>
            </w:r>
          </w:p>
        </w:tc>
        <w:tc>
          <w:tcPr>
            <w:tcW w:w="3655" w:type="pct"/>
            <w:gridSpan w:val="2"/>
            <w:shd w:val="clear" w:color="000000" w:fill="FFFFFF"/>
            <w:noWrap w:val="0"/>
            <w:vAlign w:val="center"/>
          </w:tcPr>
          <w:p w14:paraId="0905AD6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校友企业可申请入驻，管理员审核通过后可对外展示，校友可通过企业性质、所属行业、企业规模等查询校友企业;能够对校友企业发布招聘信息、优惠信息、供需信息等。</w:t>
            </w:r>
          </w:p>
        </w:tc>
      </w:tr>
      <w:tr w14:paraId="3DC35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1D7494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19</w:t>
            </w:r>
          </w:p>
        </w:tc>
        <w:tc>
          <w:tcPr>
            <w:tcW w:w="903" w:type="pct"/>
            <w:shd w:val="clear" w:color="000000" w:fill="FFFFFF"/>
            <w:noWrap/>
            <w:vAlign w:val="center"/>
          </w:tcPr>
          <w:p w14:paraId="129B935E">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校友互助</w:t>
            </w:r>
          </w:p>
        </w:tc>
        <w:tc>
          <w:tcPr>
            <w:tcW w:w="3655" w:type="pct"/>
            <w:gridSpan w:val="2"/>
            <w:shd w:val="clear" w:color="000000" w:fill="FFFFFF"/>
            <w:noWrap w:val="0"/>
            <w:vAlign w:val="center"/>
          </w:tcPr>
          <w:p w14:paraId="67EEF4E4">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校友互助服务模块，认证校友可手机端在线发布供求资源信息，信息可按类别版块进行区分，包括：招聘求职、商务合作、互帮互助、寻访师生等。平台提供搜索和智能匹配进行信息的查询，能够进行关键字模糊搜索。所有发布信息能够对敏感词过滤功能，管理员在后台审核确认之后，进行内容发布，在实现校友资源的信息共享和对接的同时最大化保证信息安全。</w:t>
            </w:r>
          </w:p>
        </w:tc>
      </w:tr>
      <w:tr w14:paraId="0941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55450CD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20</w:t>
            </w:r>
          </w:p>
        </w:tc>
        <w:tc>
          <w:tcPr>
            <w:tcW w:w="903" w:type="pct"/>
            <w:shd w:val="clear" w:color="000000" w:fill="FFFFFF"/>
            <w:noWrap/>
            <w:vAlign w:val="center"/>
          </w:tcPr>
          <w:p w14:paraId="07FD9B96">
            <w:pPr>
              <w:keepNext w:val="0"/>
              <w:keepLines w:val="0"/>
              <w:pageBreakBefore w:val="0"/>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bCs/>
                <w:sz w:val="24"/>
                <w:szCs w:val="24"/>
                <w:lang w:val="en-US" w:eastAsia="zh-CN" w:bidi="ar-SA"/>
              </w:rPr>
            </w:pPr>
            <w:r>
              <w:rPr>
                <w:rFonts w:hint="eastAsia" w:ascii="宋体" w:hAnsi="宋体" w:eastAsia="宋体" w:cs="宋体"/>
                <w:sz w:val="24"/>
                <w:szCs w:val="24"/>
              </w:rPr>
              <w:t>终身学习</w:t>
            </w:r>
          </w:p>
        </w:tc>
        <w:tc>
          <w:tcPr>
            <w:tcW w:w="3655" w:type="pct"/>
            <w:gridSpan w:val="2"/>
            <w:shd w:val="clear" w:color="000000" w:fill="FFFFFF"/>
            <w:noWrap w:val="0"/>
            <w:vAlign w:val="top"/>
          </w:tcPr>
          <w:p w14:paraId="668B40CC">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bCs/>
                <w:sz w:val="24"/>
                <w:szCs w:val="24"/>
                <w:lang w:val="en-US" w:eastAsia="zh-CN" w:bidi="ar-SA"/>
              </w:rPr>
            </w:pPr>
            <w:r>
              <w:rPr>
                <w:rFonts w:hint="eastAsia" w:ascii="宋体" w:hAnsi="宋体" w:eastAsia="宋体" w:cs="宋体"/>
                <w:sz w:val="24"/>
                <w:szCs w:val="24"/>
              </w:rPr>
              <w:t>提供校友终身学习服务模块，向校友提供论坛讲座、专业课件、知识提升等方面的学习视频，帮助校友持续学习提升。校友可在线查看课程与讲师详情。视频由管理员在后台统一上传与管理，提供视频分类和评论功能，</w:t>
            </w:r>
            <w:r>
              <w:rPr>
                <w:rFonts w:hint="eastAsia" w:ascii="宋体" w:hAnsi="宋体" w:eastAsia="宋体" w:cs="宋体"/>
                <w:sz w:val="24"/>
                <w:szCs w:val="24"/>
                <w:lang w:eastAsia="zh-CN"/>
              </w:rPr>
              <w:t>能够进行</w:t>
            </w:r>
            <w:r>
              <w:rPr>
                <w:rFonts w:hint="eastAsia" w:ascii="宋体" w:hAnsi="宋体" w:eastAsia="宋体" w:cs="宋体"/>
                <w:sz w:val="24"/>
                <w:szCs w:val="24"/>
              </w:rPr>
              <w:t>视频的转发分享。</w:t>
            </w:r>
          </w:p>
        </w:tc>
      </w:tr>
      <w:tr w14:paraId="342EE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437DEA2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21</w:t>
            </w:r>
          </w:p>
        </w:tc>
        <w:tc>
          <w:tcPr>
            <w:tcW w:w="903" w:type="pct"/>
            <w:shd w:val="clear" w:color="000000" w:fill="FFFFFF"/>
            <w:noWrap/>
            <w:vAlign w:val="center"/>
          </w:tcPr>
          <w:p w14:paraId="54D91DED">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纪念品商城</w:t>
            </w:r>
          </w:p>
        </w:tc>
        <w:tc>
          <w:tcPr>
            <w:tcW w:w="3655" w:type="pct"/>
            <w:gridSpan w:val="2"/>
            <w:shd w:val="clear" w:color="000000" w:fill="FFFFFF"/>
            <w:noWrap w:val="0"/>
            <w:vAlign w:val="top"/>
          </w:tcPr>
          <w:p w14:paraId="2D91DBDA">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eastAsia="zh-CN"/>
              </w:rPr>
            </w:pPr>
            <w:r>
              <w:rPr>
                <w:rFonts w:hint="eastAsia" w:ascii="宋体" w:hAnsi="宋体" w:eastAsia="宋体" w:cs="宋体"/>
                <w:color w:val="000000"/>
                <w:kern w:val="2"/>
                <w:sz w:val="24"/>
                <w:szCs w:val="24"/>
              </w:rPr>
              <w:t>分类展示纪念品，可直接下单。支持使用积分兑换；支持直接线上支付；支持购物车。</w:t>
            </w:r>
          </w:p>
        </w:tc>
      </w:tr>
      <w:tr w14:paraId="6C8249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4E4620A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22</w:t>
            </w:r>
          </w:p>
        </w:tc>
        <w:tc>
          <w:tcPr>
            <w:tcW w:w="903" w:type="pct"/>
            <w:shd w:val="clear" w:color="000000" w:fill="FFFFFF"/>
            <w:noWrap/>
            <w:vAlign w:val="center"/>
          </w:tcPr>
          <w:p w14:paraId="124B9D48">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新闻资讯</w:t>
            </w:r>
          </w:p>
        </w:tc>
        <w:tc>
          <w:tcPr>
            <w:tcW w:w="3655" w:type="pct"/>
            <w:gridSpan w:val="2"/>
            <w:shd w:val="clear" w:color="000000" w:fill="FFFFFF"/>
            <w:noWrap w:val="0"/>
            <w:vAlign w:val="center"/>
          </w:tcPr>
          <w:p w14:paraId="24FF8AC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系统能够从校友办/基金会网站等网站抓取新闻，在服务平台页面展示，用于校友了解母校发展。</w:t>
            </w:r>
          </w:p>
        </w:tc>
      </w:tr>
      <w:tr w14:paraId="651237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1E8EF579">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23</w:t>
            </w:r>
          </w:p>
        </w:tc>
        <w:tc>
          <w:tcPr>
            <w:tcW w:w="903" w:type="pct"/>
            <w:shd w:val="clear" w:color="000000" w:fill="FFFFFF"/>
            <w:noWrap/>
            <w:vAlign w:val="center"/>
          </w:tcPr>
          <w:p w14:paraId="32EC37C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个人中心</w:t>
            </w:r>
          </w:p>
        </w:tc>
        <w:tc>
          <w:tcPr>
            <w:tcW w:w="3655" w:type="pct"/>
            <w:gridSpan w:val="2"/>
            <w:shd w:val="clear" w:color="000000" w:fill="FFFFFF"/>
            <w:noWrap w:val="0"/>
            <w:vAlign w:val="center"/>
          </w:tcPr>
          <w:p w14:paraId="4604DAC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校友的个人门户，校友可以完善个人信息，包括姓名、常用联系方式等，查看和管理个人所有报名和发起的活动、捐赠信息和电子证书、加入和管理的社区等。</w:t>
            </w:r>
          </w:p>
        </w:tc>
      </w:tr>
      <w:tr w14:paraId="1FBFE6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jc w:val="center"/>
        </w:trPr>
        <w:tc>
          <w:tcPr>
            <w:tcW w:w="440" w:type="pct"/>
            <w:shd w:val="clear" w:color="000000" w:fill="FFFFFF"/>
            <w:noWrap w:val="0"/>
            <w:vAlign w:val="center"/>
          </w:tcPr>
          <w:p w14:paraId="75D7F866">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24</w:t>
            </w:r>
          </w:p>
        </w:tc>
        <w:tc>
          <w:tcPr>
            <w:tcW w:w="903" w:type="pct"/>
            <w:shd w:val="clear" w:color="000000" w:fill="FFFFFF"/>
            <w:noWrap/>
            <w:vAlign w:val="center"/>
          </w:tcPr>
          <w:p w14:paraId="02C61D9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服务发布与管理</w:t>
            </w:r>
          </w:p>
        </w:tc>
        <w:tc>
          <w:tcPr>
            <w:tcW w:w="3655" w:type="pct"/>
            <w:gridSpan w:val="2"/>
            <w:shd w:val="clear" w:color="000000" w:fill="FFFFFF"/>
            <w:noWrap w:val="0"/>
            <w:vAlign w:val="center"/>
          </w:tcPr>
          <w:p w14:paraId="54335BF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平台提供的服务模块能够对管理员后台灵活配置，根据不同的时间和场景，可以灵活配置不同的服务模块，包括主推服务、重点服务、底部服务菜单等。</w:t>
            </w:r>
          </w:p>
        </w:tc>
      </w:tr>
    </w:tbl>
    <w:p w14:paraId="00437081">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4、在线捐赠平台模块</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0"/>
        <w:gridCol w:w="1350"/>
        <w:gridCol w:w="1541"/>
        <w:gridCol w:w="4661"/>
      </w:tblGrid>
      <w:tr w14:paraId="1F7810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42" w:hRule="atLeast"/>
        </w:trPr>
        <w:tc>
          <w:tcPr>
            <w:tcW w:w="970" w:type="dxa"/>
            <w:noWrap w:val="0"/>
            <w:vAlign w:val="center"/>
          </w:tcPr>
          <w:p w14:paraId="373A2FC5">
            <w:pPr>
              <w:pageBreakBefore w:val="0"/>
              <w:widowControl/>
              <w:kinsoku/>
              <w:wordWrap/>
              <w:overflowPunct/>
              <w:topLinePunct w:val="0"/>
              <w:bidi w:val="0"/>
              <w:spacing w:line="360" w:lineRule="auto"/>
              <w:ind w:left="0" w:leftChars="0" w:firstLine="0" w:firstLineChars="0"/>
              <w:jc w:val="center"/>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序号</w:t>
            </w:r>
          </w:p>
        </w:tc>
        <w:tc>
          <w:tcPr>
            <w:tcW w:w="1350" w:type="dxa"/>
            <w:noWrap w:val="0"/>
            <w:vAlign w:val="center"/>
          </w:tcPr>
          <w:p w14:paraId="0BA1125B">
            <w:pPr>
              <w:pageBreakBefore w:val="0"/>
              <w:widowControl/>
              <w:kinsoku/>
              <w:wordWrap/>
              <w:overflowPunct/>
              <w:topLinePunct w:val="0"/>
              <w:bidi w:val="0"/>
              <w:spacing w:line="360" w:lineRule="auto"/>
              <w:ind w:firstLine="0" w:firstLineChars="0"/>
              <w:jc w:val="center"/>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功能模块</w:t>
            </w:r>
          </w:p>
        </w:tc>
        <w:tc>
          <w:tcPr>
            <w:tcW w:w="1541" w:type="dxa"/>
            <w:noWrap w:val="0"/>
            <w:vAlign w:val="center"/>
          </w:tcPr>
          <w:p w14:paraId="0F0614A3">
            <w:pPr>
              <w:pageBreakBefore w:val="0"/>
              <w:widowControl/>
              <w:kinsoku/>
              <w:wordWrap/>
              <w:overflowPunct/>
              <w:topLinePunct w:val="0"/>
              <w:bidi w:val="0"/>
              <w:spacing w:line="360" w:lineRule="auto"/>
              <w:ind w:firstLine="0" w:firstLineChars="0"/>
              <w:jc w:val="center"/>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子功能</w:t>
            </w:r>
          </w:p>
        </w:tc>
        <w:tc>
          <w:tcPr>
            <w:tcW w:w="4661" w:type="dxa"/>
            <w:noWrap w:val="0"/>
            <w:vAlign w:val="center"/>
          </w:tcPr>
          <w:p w14:paraId="2D11385F">
            <w:pPr>
              <w:pageBreakBefore w:val="0"/>
              <w:widowControl/>
              <w:kinsoku/>
              <w:wordWrap/>
              <w:overflowPunct/>
              <w:topLinePunct w:val="0"/>
              <w:bidi w:val="0"/>
              <w:spacing w:line="360" w:lineRule="auto"/>
              <w:ind w:firstLine="0" w:firstLineChars="0"/>
              <w:jc w:val="center"/>
              <w:rPr>
                <w:rFonts w:hint="eastAsia" w:ascii="宋体" w:hAnsi="宋体" w:eastAsia="宋体" w:cs="宋体"/>
                <w:b/>
                <w:color w:val="000000"/>
                <w:kern w:val="2"/>
                <w:sz w:val="24"/>
                <w:szCs w:val="24"/>
                <w:lang w:val="en-US" w:eastAsia="zh-CN" w:bidi="ar-SA"/>
              </w:rPr>
            </w:pPr>
            <w:r>
              <w:rPr>
                <w:rFonts w:hint="eastAsia" w:ascii="宋体" w:hAnsi="宋体" w:eastAsia="宋体" w:cs="宋体"/>
                <w:b/>
                <w:color w:val="000000"/>
                <w:kern w:val="2"/>
                <w:sz w:val="24"/>
                <w:szCs w:val="24"/>
                <w:lang w:val="en-US" w:eastAsia="zh-CN" w:bidi="ar-SA"/>
              </w:rPr>
              <w:t>说明</w:t>
            </w:r>
          </w:p>
        </w:tc>
      </w:tr>
      <w:tr w14:paraId="34BD1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2" w:hRule="atLeast"/>
        </w:trPr>
        <w:tc>
          <w:tcPr>
            <w:tcW w:w="970" w:type="dxa"/>
            <w:noWrap w:val="0"/>
            <w:vAlign w:val="center"/>
          </w:tcPr>
          <w:p w14:paraId="66F94636">
            <w:pPr>
              <w:pageBreakBefore w:val="0"/>
              <w:widowControl w:val="0"/>
              <w:kinsoku/>
              <w:wordWrap/>
              <w:overflowPunct/>
              <w:topLinePunct w:val="0"/>
              <w:bidi w:val="0"/>
              <w:spacing w:line="360" w:lineRule="auto"/>
              <w:ind w:left="0" w:leftChars="0" w:firstLine="0" w:firstLineChars="0"/>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w:t>
            </w:r>
          </w:p>
        </w:tc>
        <w:tc>
          <w:tcPr>
            <w:tcW w:w="1350" w:type="dxa"/>
            <w:vMerge w:val="restart"/>
            <w:noWrap w:val="0"/>
            <w:vAlign w:val="center"/>
          </w:tcPr>
          <w:p w14:paraId="6765C6DC">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捐赠</w:t>
            </w:r>
            <w:r>
              <w:rPr>
                <w:rFonts w:hint="eastAsia" w:ascii="宋体" w:hAnsi="宋体" w:eastAsia="宋体" w:cs="宋体"/>
                <w:color w:val="000000"/>
                <w:kern w:val="2"/>
                <w:sz w:val="24"/>
                <w:szCs w:val="24"/>
              </w:rPr>
              <w:t>后台管理</w:t>
            </w:r>
          </w:p>
        </w:tc>
        <w:tc>
          <w:tcPr>
            <w:tcW w:w="1541" w:type="dxa"/>
            <w:noWrap w:val="0"/>
            <w:vAlign w:val="center"/>
          </w:tcPr>
          <w:p w14:paraId="1533379A">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项目管理</w:t>
            </w:r>
          </w:p>
        </w:tc>
        <w:tc>
          <w:tcPr>
            <w:tcW w:w="4661" w:type="dxa"/>
            <w:noWrap w:val="0"/>
            <w:vAlign w:val="center"/>
          </w:tcPr>
          <w:p w14:paraId="0E79E550">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支持按项目名称、标签、状态、是否上架等重要字段实现捐赠项目快速查询功能。</w:t>
            </w:r>
          </w:p>
          <w:p w14:paraId="23676271">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捐赠项目主要包括基本信息、项目图片、项目选项、项目进展等子页面，同时捐赠项目具有多种捐赠配置选项和可灵活定义的项目内容等，支持上传附件等操作。</w:t>
            </w:r>
          </w:p>
        </w:tc>
      </w:tr>
      <w:tr w14:paraId="63B87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70" w:type="dxa"/>
            <w:noWrap w:val="0"/>
            <w:vAlign w:val="center"/>
          </w:tcPr>
          <w:p w14:paraId="7D00D5AD">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w:t>
            </w:r>
          </w:p>
        </w:tc>
        <w:tc>
          <w:tcPr>
            <w:tcW w:w="1350" w:type="dxa"/>
            <w:vMerge w:val="continue"/>
            <w:noWrap w:val="0"/>
            <w:vAlign w:val="center"/>
          </w:tcPr>
          <w:p w14:paraId="430837D4">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p>
        </w:tc>
        <w:tc>
          <w:tcPr>
            <w:tcW w:w="1541" w:type="dxa"/>
            <w:noWrap w:val="0"/>
            <w:vAlign w:val="center"/>
          </w:tcPr>
          <w:p w14:paraId="0996B38C">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捐赠记录</w:t>
            </w:r>
          </w:p>
        </w:tc>
        <w:tc>
          <w:tcPr>
            <w:tcW w:w="4661" w:type="dxa"/>
            <w:noWrap w:val="0"/>
            <w:vAlign w:val="center"/>
          </w:tcPr>
          <w:p w14:paraId="6F719B0D">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1、捐赠记录展示</w:t>
            </w:r>
          </w:p>
          <w:p w14:paraId="75D94BA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2、捐赠记录过滤、查询、导出</w:t>
            </w:r>
          </w:p>
        </w:tc>
      </w:tr>
      <w:tr w14:paraId="14885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3" w:hRule="atLeast"/>
        </w:trPr>
        <w:tc>
          <w:tcPr>
            <w:tcW w:w="970" w:type="dxa"/>
            <w:noWrap w:val="0"/>
            <w:vAlign w:val="center"/>
          </w:tcPr>
          <w:p w14:paraId="13104270">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3</w:t>
            </w:r>
          </w:p>
        </w:tc>
        <w:tc>
          <w:tcPr>
            <w:tcW w:w="1350" w:type="dxa"/>
            <w:vMerge w:val="continue"/>
            <w:noWrap w:val="0"/>
            <w:vAlign w:val="center"/>
          </w:tcPr>
          <w:p w14:paraId="5F048AF3">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p>
        </w:tc>
        <w:tc>
          <w:tcPr>
            <w:tcW w:w="1541" w:type="dxa"/>
            <w:noWrap w:val="0"/>
            <w:vAlign w:val="center"/>
          </w:tcPr>
          <w:p w14:paraId="331BAD37">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多维度统计分析</w:t>
            </w:r>
          </w:p>
        </w:tc>
        <w:tc>
          <w:tcPr>
            <w:tcW w:w="4661" w:type="dxa"/>
            <w:noWrap w:val="0"/>
            <w:vAlign w:val="center"/>
          </w:tcPr>
          <w:p w14:paraId="1600458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支持按多维度统计数据。包括以日、月、支付项目、支付方式、金额区间</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匿名实名</w:t>
            </w:r>
            <w:r>
              <w:rPr>
                <w:rFonts w:hint="eastAsia" w:ascii="宋体" w:hAnsi="宋体" w:eastAsia="宋体" w:cs="宋体"/>
                <w:color w:val="000000"/>
                <w:kern w:val="2"/>
                <w:sz w:val="24"/>
                <w:szCs w:val="24"/>
              </w:rPr>
              <w:t>等不同维度进行统计。</w:t>
            </w:r>
          </w:p>
        </w:tc>
      </w:tr>
      <w:tr w14:paraId="4EB7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0" w:type="dxa"/>
            <w:noWrap w:val="0"/>
            <w:vAlign w:val="center"/>
          </w:tcPr>
          <w:p w14:paraId="3E50AD09">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4</w:t>
            </w:r>
          </w:p>
        </w:tc>
        <w:tc>
          <w:tcPr>
            <w:tcW w:w="1350" w:type="dxa"/>
            <w:vMerge w:val="continue"/>
            <w:noWrap w:val="0"/>
            <w:vAlign w:val="center"/>
          </w:tcPr>
          <w:p w14:paraId="2E0C2056">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p>
        </w:tc>
        <w:tc>
          <w:tcPr>
            <w:tcW w:w="1541" w:type="dxa"/>
            <w:noWrap w:val="0"/>
            <w:vAlign w:val="center"/>
          </w:tcPr>
          <w:p w14:paraId="1BBC9683">
            <w:pPr>
              <w:widowControl/>
              <w:spacing w:line="360" w:lineRule="auto"/>
              <w:jc w:val="center"/>
              <w:rPr>
                <w:rFonts w:hint="eastAsia" w:ascii="宋体" w:hAnsi="宋体" w:eastAsia="宋体" w:cs="宋体"/>
                <w:color w:val="000000"/>
                <w:kern w:val="2"/>
                <w:sz w:val="24"/>
                <w:szCs w:val="24"/>
              </w:rPr>
            </w:pPr>
            <w:r>
              <w:rPr>
                <w:rFonts w:hint="eastAsia" w:ascii="宋体" w:hAnsi="宋体" w:eastAsia="宋体" w:cs="宋体"/>
                <w:color w:val="000000"/>
                <w:sz w:val="24"/>
                <w:szCs w:val="24"/>
              </w:rPr>
              <w:t>捐赠寄语管理</w:t>
            </w:r>
          </w:p>
        </w:tc>
        <w:tc>
          <w:tcPr>
            <w:tcW w:w="4661" w:type="dxa"/>
            <w:noWrap w:val="0"/>
            <w:vAlign w:val="center"/>
          </w:tcPr>
          <w:p w14:paraId="5C17F0D5">
            <w:pPr>
              <w:widowControl/>
              <w:spacing w:line="360" w:lineRule="auto"/>
              <w:jc w:val="both"/>
              <w:rPr>
                <w:rFonts w:hint="eastAsia" w:ascii="宋体" w:hAnsi="宋体" w:eastAsia="宋体" w:cs="宋体"/>
                <w:color w:val="000000"/>
                <w:kern w:val="2"/>
                <w:sz w:val="24"/>
                <w:szCs w:val="24"/>
              </w:rPr>
            </w:pPr>
            <w:r>
              <w:rPr>
                <w:rFonts w:hint="eastAsia" w:ascii="宋体" w:hAnsi="宋体" w:eastAsia="宋体" w:cs="宋体"/>
                <w:color w:val="000000"/>
                <w:sz w:val="24"/>
                <w:szCs w:val="24"/>
              </w:rPr>
              <w:t>捐赠者捐赠时可以提交捐赠寄语，管理员后台审核后可以对外公开发布。</w:t>
            </w:r>
          </w:p>
        </w:tc>
      </w:tr>
      <w:tr w14:paraId="01DE7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970" w:type="dxa"/>
            <w:noWrap w:val="0"/>
            <w:vAlign w:val="center"/>
          </w:tcPr>
          <w:p w14:paraId="36A15E17">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5</w:t>
            </w:r>
          </w:p>
        </w:tc>
        <w:tc>
          <w:tcPr>
            <w:tcW w:w="1350" w:type="dxa"/>
            <w:vMerge w:val="continue"/>
            <w:noWrap w:val="0"/>
            <w:vAlign w:val="center"/>
          </w:tcPr>
          <w:p w14:paraId="17C8BB4F">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p>
        </w:tc>
        <w:tc>
          <w:tcPr>
            <w:tcW w:w="1541" w:type="dxa"/>
            <w:noWrap w:val="0"/>
            <w:vAlign w:val="center"/>
          </w:tcPr>
          <w:p w14:paraId="4E479BE2">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捐赠证书</w:t>
            </w:r>
          </w:p>
        </w:tc>
        <w:tc>
          <w:tcPr>
            <w:tcW w:w="4661" w:type="dxa"/>
            <w:noWrap w:val="0"/>
            <w:vAlign w:val="center"/>
          </w:tcPr>
          <w:p w14:paraId="4F20A3E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r>
              <w:rPr>
                <w:rFonts w:hint="eastAsia" w:ascii="宋体" w:hAnsi="宋体" w:eastAsia="宋体" w:cs="宋体"/>
                <w:sz w:val="24"/>
                <w:szCs w:val="24"/>
              </w:rPr>
              <w:t>捐赠成功后可获得电子证书，证书可以包括姓名、捐赠金额、捐赠项目、基金会电子印章和证书编号等信息。</w:t>
            </w:r>
          </w:p>
        </w:tc>
      </w:tr>
      <w:tr w14:paraId="0D2B2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0" w:hRule="atLeast"/>
        </w:trPr>
        <w:tc>
          <w:tcPr>
            <w:tcW w:w="970" w:type="dxa"/>
            <w:noWrap w:val="0"/>
            <w:vAlign w:val="center"/>
          </w:tcPr>
          <w:p w14:paraId="7DF4C26F">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6</w:t>
            </w:r>
          </w:p>
        </w:tc>
        <w:tc>
          <w:tcPr>
            <w:tcW w:w="1350" w:type="dxa"/>
            <w:vMerge w:val="continue"/>
            <w:noWrap w:val="0"/>
            <w:vAlign w:val="center"/>
          </w:tcPr>
          <w:p w14:paraId="3D78ACA5">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p>
        </w:tc>
        <w:tc>
          <w:tcPr>
            <w:tcW w:w="1541" w:type="dxa"/>
            <w:noWrap w:val="0"/>
            <w:vAlign w:val="center"/>
          </w:tcPr>
          <w:p w14:paraId="1A162E27">
            <w:pPr>
              <w:pageBreakBefore w:val="0"/>
              <w:widowControl/>
              <w:kinsoku/>
              <w:wordWrap/>
              <w:overflowPunct/>
              <w:topLinePunct w:val="0"/>
              <w:autoSpaceDE/>
              <w:autoSpaceDN/>
              <w:bidi w:val="0"/>
              <w:adjustRightInd/>
              <w:snapToGrid/>
              <w:spacing w:line="360" w:lineRule="auto"/>
              <w:jc w:val="center"/>
              <w:textAlignment w:val="auto"/>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系统配置</w:t>
            </w:r>
          </w:p>
        </w:tc>
        <w:tc>
          <w:tcPr>
            <w:tcW w:w="4661" w:type="dxa"/>
            <w:noWrap w:val="0"/>
            <w:vAlign w:val="center"/>
          </w:tcPr>
          <w:p w14:paraId="4B18202D">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系统配置管理包括捐赠属性管理、用户管理和角色分配等内容。实现基于菜单的权限管理与基于学院二级管理员权限管理的多层级组合权限管理功能。</w:t>
            </w:r>
          </w:p>
        </w:tc>
      </w:tr>
      <w:tr w14:paraId="3145F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0" w:hRule="atLeast"/>
        </w:trPr>
        <w:tc>
          <w:tcPr>
            <w:tcW w:w="970" w:type="dxa"/>
            <w:noWrap w:val="0"/>
            <w:vAlign w:val="center"/>
          </w:tcPr>
          <w:p w14:paraId="3B0A9F29">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7</w:t>
            </w:r>
          </w:p>
        </w:tc>
        <w:tc>
          <w:tcPr>
            <w:tcW w:w="1350" w:type="dxa"/>
            <w:vMerge w:val="restart"/>
            <w:noWrap w:val="0"/>
            <w:vAlign w:val="center"/>
          </w:tcPr>
          <w:p w14:paraId="1C03C26E">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在线捐赠</w:t>
            </w:r>
          </w:p>
        </w:tc>
        <w:tc>
          <w:tcPr>
            <w:tcW w:w="1541" w:type="dxa"/>
            <w:noWrap w:val="0"/>
            <w:vAlign w:val="center"/>
          </w:tcPr>
          <w:p w14:paraId="6481E0F2">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捐赠首页</w:t>
            </w:r>
          </w:p>
        </w:tc>
        <w:tc>
          <w:tcPr>
            <w:tcW w:w="4661" w:type="dxa"/>
            <w:noWrap w:val="0"/>
            <w:vAlign w:val="center"/>
          </w:tcPr>
          <w:p w14:paraId="303C4A9C">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展示滚动大图、捐赠项目</w:t>
            </w:r>
            <w:r>
              <w:rPr>
                <w:rFonts w:hint="eastAsia" w:ascii="宋体" w:hAnsi="宋体" w:eastAsia="宋体" w:cs="宋体"/>
                <w:color w:val="000000"/>
                <w:kern w:val="2"/>
                <w:sz w:val="24"/>
                <w:szCs w:val="24"/>
                <w:lang w:val="en-US" w:eastAsia="zh-CN"/>
              </w:rPr>
              <w:t>列表</w:t>
            </w:r>
            <w:r>
              <w:rPr>
                <w:rFonts w:hint="eastAsia" w:ascii="宋体" w:hAnsi="宋体" w:eastAsia="宋体" w:cs="宋体"/>
                <w:color w:val="000000"/>
                <w:kern w:val="2"/>
                <w:sz w:val="24"/>
                <w:szCs w:val="24"/>
              </w:rPr>
              <w:t>和“我的”菜单等内容。捐赠项目展示内容主要包括包括图片、项目名称、项目简介、已捐赠人数。点击对应的捐赠项目即跳转进行捐赠项目详情页。</w:t>
            </w:r>
          </w:p>
        </w:tc>
      </w:tr>
      <w:tr w14:paraId="56312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70" w:type="dxa"/>
            <w:noWrap w:val="0"/>
            <w:vAlign w:val="center"/>
          </w:tcPr>
          <w:p w14:paraId="1674F94C">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8</w:t>
            </w:r>
          </w:p>
        </w:tc>
        <w:tc>
          <w:tcPr>
            <w:tcW w:w="1350" w:type="dxa"/>
            <w:vMerge w:val="continue"/>
            <w:noWrap w:val="0"/>
            <w:vAlign w:val="center"/>
          </w:tcPr>
          <w:p w14:paraId="4A46E6E7">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p>
        </w:tc>
        <w:tc>
          <w:tcPr>
            <w:tcW w:w="1541" w:type="dxa"/>
            <w:noWrap w:val="0"/>
            <w:vAlign w:val="center"/>
          </w:tcPr>
          <w:p w14:paraId="0FC9C6B6">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捐赠项目</w:t>
            </w:r>
            <w:r>
              <w:rPr>
                <w:rFonts w:hint="eastAsia" w:ascii="宋体" w:hAnsi="宋体" w:eastAsia="宋体" w:cs="宋体"/>
                <w:color w:val="000000"/>
                <w:kern w:val="2"/>
                <w:sz w:val="24"/>
                <w:szCs w:val="24"/>
                <w:lang w:val="en-US" w:eastAsia="zh-CN"/>
              </w:rPr>
              <w:t>详情</w:t>
            </w:r>
          </w:p>
        </w:tc>
        <w:tc>
          <w:tcPr>
            <w:tcW w:w="4661" w:type="dxa"/>
            <w:noWrap w:val="0"/>
            <w:vAlign w:val="center"/>
          </w:tcPr>
          <w:p w14:paraId="771F4145">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支持点击捐赠项目图片跳转进行捐赠项目详情页，展示项目目标金额，捐赠进度条，付款方式等基础信息。管理员可后台自定义标签页展示项目捐赠故事，捐赠对象，鸣谢方式，捐赠用途，捐赠鸣谢，捐赠记录等内容。</w:t>
            </w:r>
          </w:p>
        </w:tc>
      </w:tr>
      <w:tr w14:paraId="405FC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70" w:type="dxa"/>
            <w:noWrap w:val="0"/>
            <w:vAlign w:val="center"/>
          </w:tcPr>
          <w:p w14:paraId="463F4721">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9</w:t>
            </w:r>
          </w:p>
        </w:tc>
        <w:tc>
          <w:tcPr>
            <w:tcW w:w="1350" w:type="dxa"/>
            <w:vMerge w:val="continue"/>
            <w:noWrap w:val="0"/>
            <w:vAlign w:val="center"/>
          </w:tcPr>
          <w:p w14:paraId="7424FCD5">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p>
        </w:tc>
        <w:tc>
          <w:tcPr>
            <w:tcW w:w="1541" w:type="dxa"/>
            <w:noWrap w:val="0"/>
            <w:vAlign w:val="center"/>
          </w:tcPr>
          <w:p w14:paraId="4C5A8F96">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在线捐赠</w:t>
            </w:r>
          </w:p>
        </w:tc>
        <w:tc>
          <w:tcPr>
            <w:tcW w:w="4661" w:type="dxa"/>
            <w:noWrap w:val="0"/>
            <w:vAlign w:val="center"/>
          </w:tcPr>
          <w:p w14:paraId="0FD0F2C7">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输入捐赠金额、填写捐赠表单、发票等信息后进行在线支付，实现小额捐赠</w:t>
            </w:r>
            <w:r>
              <w:rPr>
                <w:rFonts w:hint="eastAsia" w:ascii="宋体" w:hAnsi="宋体" w:eastAsia="宋体" w:cs="宋体"/>
                <w:color w:val="000000"/>
                <w:kern w:val="2"/>
                <w:sz w:val="24"/>
                <w:szCs w:val="24"/>
                <w:lang w:eastAsia="zh-CN"/>
              </w:rPr>
              <w:t>。</w:t>
            </w:r>
          </w:p>
        </w:tc>
      </w:tr>
      <w:tr w14:paraId="5CB43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1" w:hRule="atLeast"/>
        </w:trPr>
        <w:tc>
          <w:tcPr>
            <w:tcW w:w="970" w:type="dxa"/>
            <w:noWrap w:val="0"/>
            <w:vAlign w:val="center"/>
          </w:tcPr>
          <w:p w14:paraId="45C35D6A">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10</w:t>
            </w:r>
          </w:p>
        </w:tc>
        <w:tc>
          <w:tcPr>
            <w:tcW w:w="1350" w:type="dxa"/>
            <w:vMerge w:val="continue"/>
            <w:noWrap w:val="0"/>
            <w:vAlign w:val="center"/>
          </w:tcPr>
          <w:p w14:paraId="36E9BE56">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p>
        </w:tc>
        <w:tc>
          <w:tcPr>
            <w:tcW w:w="1541" w:type="dxa"/>
            <w:noWrap w:val="0"/>
            <w:vAlign w:val="center"/>
          </w:tcPr>
          <w:p w14:paraId="21231B1C">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一起捐</w:t>
            </w:r>
          </w:p>
        </w:tc>
        <w:tc>
          <w:tcPr>
            <w:tcW w:w="4661" w:type="dxa"/>
            <w:noWrap w:val="0"/>
            <w:vAlign w:val="center"/>
          </w:tcPr>
          <w:p w14:paraId="1947B98D">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lang w:val="en-US" w:eastAsia="zh-CN"/>
              </w:rPr>
              <w:t>1、</w:t>
            </w:r>
            <w:r>
              <w:rPr>
                <w:rFonts w:hint="eastAsia" w:ascii="宋体" w:hAnsi="宋体" w:eastAsia="宋体" w:cs="宋体"/>
                <w:color w:val="000000"/>
                <w:kern w:val="2"/>
                <w:sz w:val="24"/>
                <w:szCs w:val="24"/>
              </w:rPr>
              <w:t>支持一起捐方式，用户可发起一起捐，以班级或其他团体名义进行捐赠，将一起捐链接转发到微信群</w:t>
            </w:r>
            <w:r>
              <w:rPr>
                <w:rFonts w:hint="eastAsia" w:ascii="宋体" w:hAnsi="宋体" w:eastAsia="宋体" w:cs="宋体"/>
                <w:color w:val="000000"/>
                <w:kern w:val="2"/>
                <w:sz w:val="24"/>
                <w:szCs w:val="24"/>
                <w:lang w:val="en-US" w:eastAsia="zh-CN"/>
              </w:rPr>
              <w:t>或朋友圈，</w:t>
            </w:r>
            <w:r>
              <w:rPr>
                <w:rFonts w:hint="eastAsia" w:ascii="宋体" w:hAnsi="宋体" w:eastAsia="宋体" w:cs="宋体"/>
                <w:color w:val="000000"/>
                <w:kern w:val="2"/>
                <w:sz w:val="24"/>
                <w:szCs w:val="24"/>
              </w:rPr>
              <w:t>团体其他成员点击链接，以同一团体名称进行捐赠助力。</w:t>
            </w:r>
          </w:p>
          <w:p w14:paraId="052E2B52">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lang w:val="en-US" w:eastAsia="zh-CN"/>
              </w:rPr>
              <w:t>2、</w:t>
            </w:r>
            <w:r>
              <w:rPr>
                <w:rFonts w:hint="eastAsia" w:ascii="宋体" w:hAnsi="宋体" w:eastAsia="宋体" w:cs="宋体"/>
                <w:color w:val="000000"/>
                <w:kern w:val="2"/>
                <w:sz w:val="24"/>
                <w:szCs w:val="24"/>
              </w:rPr>
              <w:t>在一起捐专题页面，可以实现在线捐赠</w:t>
            </w:r>
            <w:r>
              <w:rPr>
                <w:rFonts w:hint="eastAsia" w:ascii="宋体" w:hAnsi="宋体" w:eastAsia="宋体" w:cs="宋体"/>
                <w:color w:val="000000"/>
                <w:kern w:val="2"/>
                <w:sz w:val="24"/>
                <w:szCs w:val="24"/>
                <w:lang w:eastAsia="zh-CN"/>
              </w:rPr>
              <w:t>；</w:t>
            </w:r>
            <w:r>
              <w:rPr>
                <w:rFonts w:hint="eastAsia" w:ascii="宋体" w:hAnsi="宋体" w:eastAsia="宋体" w:cs="宋体"/>
                <w:color w:val="000000"/>
                <w:kern w:val="2"/>
                <w:sz w:val="24"/>
                <w:szCs w:val="24"/>
                <w:lang w:val="en-US" w:eastAsia="zh-CN"/>
              </w:rPr>
              <w:t>3、</w:t>
            </w:r>
            <w:r>
              <w:rPr>
                <w:rFonts w:hint="eastAsia" w:ascii="宋体" w:hAnsi="宋体" w:eastAsia="宋体" w:cs="宋体"/>
                <w:color w:val="000000"/>
                <w:kern w:val="2"/>
                <w:sz w:val="24"/>
                <w:szCs w:val="24"/>
              </w:rPr>
              <w:t>一起捐专题页面也会对本期一起捐的捐赠记录</w:t>
            </w:r>
            <w:r>
              <w:rPr>
                <w:rFonts w:hint="eastAsia" w:ascii="宋体" w:hAnsi="宋体" w:eastAsia="宋体" w:cs="宋体"/>
                <w:color w:val="000000"/>
                <w:kern w:val="2"/>
                <w:sz w:val="24"/>
                <w:szCs w:val="24"/>
                <w:lang w:eastAsia="zh-CN"/>
              </w:rPr>
              <w:t>。</w:t>
            </w:r>
          </w:p>
        </w:tc>
      </w:tr>
      <w:tr w14:paraId="485B2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70" w:type="dxa"/>
            <w:noWrap w:val="0"/>
            <w:vAlign w:val="center"/>
          </w:tcPr>
          <w:p w14:paraId="5443B4BF">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11</w:t>
            </w:r>
          </w:p>
        </w:tc>
        <w:tc>
          <w:tcPr>
            <w:tcW w:w="1350" w:type="dxa"/>
            <w:vMerge w:val="continue"/>
            <w:noWrap w:val="0"/>
            <w:vAlign w:val="center"/>
          </w:tcPr>
          <w:p w14:paraId="02DCA689">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p>
        </w:tc>
        <w:tc>
          <w:tcPr>
            <w:tcW w:w="1541" w:type="dxa"/>
            <w:noWrap w:val="0"/>
            <w:vAlign w:val="center"/>
          </w:tcPr>
          <w:p w14:paraId="3C838776">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冠名捐赠</w:t>
            </w:r>
          </w:p>
        </w:tc>
        <w:tc>
          <w:tcPr>
            <w:tcW w:w="4661" w:type="dxa"/>
            <w:noWrap w:val="0"/>
            <w:vAlign w:val="center"/>
          </w:tcPr>
          <w:p w14:paraId="0C0F9BFD">
            <w:pPr>
              <w:pageBreakBefore w:val="0"/>
              <w:widowControl/>
              <w:kinsoku/>
              <w:wordWrap/>
              <w:overflowPunct/>
              <w:topLinePunct w:val="0"/>
              <w:autoSpaceDE/>
              <w:autoSpaceDN/>
              <w:bidi w:val="0"/>
              <w:adjustRightInd/>
              <w:snapToGrid/>
              <w:spacing w:line="360" w:lineRule="auto"/>
              <w:jc w:val="left"/>
              <w:textAlignment w:val="auto"/>
              <w:rPr>
                <w:rFonts w:hint="default"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rPr>
              <w:t>类似电影院选座，可直观查看冠名区域相应空位，并选择心仪座位</w:t>
            </w:r>
            <w:r>
              <w:rPr>
                <w:rFonts w:hint="eastAsia" w:ascii="宋体" w:hAnsi="宋体" w:eastAsia="宋体" w:cs="宋体"/>
                <w:color w:val="000000"/>
                <w:kern w:val="2"/>
                <w:sz w:val="24"/>
                <w:szCs w:val="24"/>
                <w:lang w:val="en-US" w:eastAsia="zh-CN"/>
              </w:rPr>
              <w:t>进行捐赠。</w:t>
            </w:r>
          </w:p>
        </w:tc>
      </w:tr>
      <w:tr w14:paraId="2032B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0" w:hRule="atLeast"/>
        </w:trPr>
        <w:tc>
          <w:tcPr>
            <w:tcW w:w="970" w:type="dxa"/>
            <w:noWrap w:val="0"/>
            <w:vAlign w:val="center"/>
          </w:tcPr>
          <w:p w14:paraId="1B7ADA1B">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12</w:t>
            </w:r>
          </w:p>
        </w:tc>
        <w:tc>
          <w:tcPr>
            <w:tcW w:w="1350" w:type="dxa"/>
            <w:vMerge w:val="continue"/>
            <w:noWrap w:val="0"/>
            <w:vAlign w:val="center"/>
          </w:tcPr>
          <w:p w14:paraId="2BDF64A4">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p>
        </w:tc>
        <w:tc>
          <w:tcPr>
            <w:tcW w:w="1541" w:type="dxa"/>
            <w:noWrap w:val="0"/>
            <w:vAlign w:val="center"/>
          </w:tcPr>
          <w:p w14:paraId="3C38E168">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我的捐赠</w:t>
            </w:r>
          </w:p>
        </w:tc>
        <w:tc>
          <w:tcPr>
            <w:tcW w:w="4661" w:type="dxa"/>
            <w:noWrap w:val="0"/>
            <w:vAlign w:val="center"/>
          </w:tcPr>
          <w:p w14:paraId="7D124F95">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用户可在捐赠列表页点击右上角“我的”查看个人历史的捐赠记录和收到的捐赠证书，包括本人历史已捐赠的数据统计和具体的捐赠记录。</w:t>
            </w:r>
          </w:p>
        </w:tc>
      </w:tr>
      <w:tr w14:paraId="442B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70" w:type="dxa"/>
            <w:noWrap w:val="0"/>
            <w:vAlign w:val="center"/>
          </w:tcPr>
          <w:p w14:paraId="77787AF2">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13</w:t>
            </w:r>
          </w:p>
        </w:tc>
        <w:tc>
          <w:tcPr>
            <w:tcW w:w="1350" w:type="dxa"/>
            <w:noWrap w:val="0"/>
            <w:vAlign w:val="center"/>
          </w:tcPr>
          <w:p w14:paraId="45916DEF">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捐赠公示</w:t>
            </w:r>
          </w:p>
        </w:tc>
        <w:tc>
          <w:tcPr>
            <w:tcW w:w="1541" w:type="dxa"/>
            <w:noWrap w:val="0"/>
            <w:vAlign w:val="center"/>
          </w:tcPr>
          <w:p w14:paraId="41312D5D">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捐赠公示</w:t>
            </w:r>
          </w:p>
        </w:tc>
        <w:tc>
          <w:tcPr>
            <w:tcW w:w="4661" w:type="dxa"/>
            <w:noWrap w:val="0"/>
            <w:vAlign w:val="center"/>
          </w:tcPr>
          <w:p w14:paraId="7F8928B8">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lang w:eastAsia="zh-CN"/>
              </w:rPr>
            </w:pPr>
            <w:r>
              <w:rPr>
                <w:rFonts w:hint="eastAsia" w:ascii="宋体" w:hAnsi="宋体" w:eastAsia="宋体" w:cs="宋体"/>
                <w:color w:val="000000"/>
                <w:kern w:val="2"/>
                <w:sz w:val="24"/>
                <w:szCs w:val="24"/>
              </w:rPr>
              <w:t>1、提供API接口，供其他系统调用获取捐赠公示</w:t>
            </w:r>
          </w:p>
          <w:p w14:paraId="1640DD9B">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rPr>
            </w:pPr>
            <w:r>
              <w:rPr>
                <w:rFonts w:hint="eastAsia" w:ascii="宋体" w:hAnsi="宋体" w:eastAsia="宋体" w:cs="宋体"/>
                <w:color w:val="000000"/>
                <w:kern w:val="2"/>
                <w:sz w:val="24"/>
                <w:szCs w:val="24"/>
              </w:rPr>
              <w:t>2、可</w:t>
            </w:r>
            <w:r>
              <w:rPr>
                <w:rFonts w:hint="eastAsia" w:ascii="宋体" w:hAnsi="宋体" w:eastAsia="宋体" w:cs="宋体"/>
                <w:color w:val="000000"/>
                <w:kern w:val="2"/>
                <w:sz w:val="24"/>
                <w:szCs w:val="24"/>
                <w:lang w:val="en-US" w:eastAsia="zh-CN"/>
              </w:rPr>
              <w:t>集成</w:t>
            </w:r>
            <w:r>
              <w:rPr>
                <w:rFonts w:hint="eastAsia" w:ascii="宋体" w:hAnsi="宋体" w:eastAsia="宋体" w:cs="宋体"/>
                <w:color w:val="000000"/>
                <w:kern w:val="2"/>
                <w:sz w:val="24"/>
                <w:szCs w:val="24"/>
              </w:rPr>
              <w:t>到基金会网站进行捐赠公示</w:t>
            </w:r>
          </w:p>
        </w:tc>
      </w:tr>
      <w:tr w14:paraId="3CF8F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atLeast"/>
        </w:trPr>
        <w:tc>
          <w:tcPr>
            <w:tcW w:w="970" w:type="dxa"/>
            <w:noWrap w:val="0"/>
            <w:vAlign w:val="center"/>
          </w:tcPr>
          <w:p w14:paraId="26467E77">
            <w:pPr>
              <w:pageBreakBefore w:val="0"/>
              <w:widowControl/>
              <w:kinsoku/>
              <w:wordWrap/>
              <w:overflowPunct/>
              <w:topLinePunct w:val="0"/>
              <w:autoSpaceDE/>
              <w:autoSpaceDN/>
              <w:bidi w:val="0"/>
              <w:adjustRightInd/>
              <w:snapToGrid/>
              <w:spacing w:line="360" w:lineRule="auto"/>
              <w:jc w:val="center"/>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14</w:t>
            </w:r>
          </w:p>
        </w:tc>
        <w:tc>
          <w:tcPr>
            <w:tcW w:w="1350" w:type="dxa"/>
            <w:noWrap w:val="0"/>
            <w:vAlign w:val="center"/>
          </w:tcPr>
          <w:p w14:paraId="77AC7675">
            <w:pPr>
              <w:pageBreakBefore w:val="0"/>
              <w:widowControl/>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合规性改造</w:t>
            </w:r>
          </w:p>
        </w:tc>
        <w:tc>
          <w:tcPr>
            <w:tcW w:w="1541" w:type="dxa"/>
            <w:noWrap w:val="0"/>
            <w:vAlign w:val="center"/>
          </w:tcPr>
          <w:p w14:paraId="41A71839">
            <w:pPr>
              <w:pageBreakBefore w:val="0"/>
              <w:widowControl/>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合规性改造</w:t>
            </w:r>
          </w:p>
        </w:tc>
        <w:tc>
          <w:tcPr>
            <w:tcW w:w="4661" w:type="dxa"/>
            <w:noWrap w:val="0"/>
            <w:vAlign w:val="center"/>
          </w:tcPr>
          <w:p w14:paraId="6AF2C960">
            <w:pPr>
              <w:pageBreakBefore w:val="0"/>
              <w:widowControl/>
              <w:kinsoku/>
              <w:wordWrap/>
              <w:overflowPunct/>
              <w:topLinePunct w:val="0"/>
              <w:autoSpaceDE/>
              <w:autoSpaceDN/>
              <w:bidi w:val="0"/>
              <w:adjustRightInd/>
              <w:snapToGrid/>
              <w:spacing w:line="360" w:lineRule="auto"/>
              <w:jc w:val="left"/>
              <w:textAlignment w:val="auto"/>
              <w:rPr>
                <w:rFonts w:hint="eastAsia" w:ascii="宋体" w:hAnsi="宋体" w:eastAsia="宋体" w:cs="宋体"/>
                <w:color w:val="000000"/>
                <w:kern w:val="2"/>
                <w:sz w:val="24"/>
                <w:szCs w:val="24"/>
                <w:lang w:val="en-US" w:eastAsia="zh-CN"/>
              </w:rPr>
            </w:pPr>
            <w:r>
              <w:rPr>
                <w:rFonts w:hint="eastAsia" w:ascii="宋体" w:hAnsi="宋体" w:eastAsia="宋体" w:cs="宋体"/>
                <w:color w:val="000000"/>
                <w:kern w:val="2"/>
                <w:sz w:val="24"/>
                <w:szCs w:val="24"/>
                <w:lang w:val="en-US" w:eastAsia="zh-CN"/>
              </w:rPr>
              <w:t>1、系统对接公募基金会、互联网募捐平台实现非公募基金会线上募捐合规性</w:t>
            </w:r>
          </w:p>
        </w:tc>
      </w:tr>
    </w:tbl>
    <w:p w14:paraId="54D783E4">
      <w:pPr>
        <w:keepNext/>
        <w:keepLines/>
        <w:pageBreakBefore w:val="0"/>
        <w:widowControl w:val="0"/>
        <w:numPr>
          <w:ilvl w:val="0"/>
          <w:numId w:val="2"/>
        </w:numPr>
        <w:kinsoku/>
        <w:wordWrap/>
        <w:overflowPunct/>
        <w:topLinePunct w:val="0"/>
        <w:bidi w:val="0"/>
        <w:spacing w:line="360" w:lineRule="auto"/>
        <w:jc w:val="both"/>
        <w:outlineLvl w:val="1"/>
        <w:rPr>
          <w:rFonts w:hint="eastAsia" w:ascii="宋体" w:hAnsi="宋体" w:eastAsia="宋体" w:cs="宋体"/>
          <w:b w:val="0"/>
          <w:bCs w:val="0"/>
          <w:kern w:val="2"/>
          <w:sz w:val="24"/>
          <w:szCs w:val="24"/>
          <w:lang w:val="en-US" w:eastAsia="zh-CN" w:bidi="ar-SA"/>
        </w:rPr>
      </w:pPr>
      <w:r>
        <w:rPr>
          <w:rFonts w:hint="eastAsia" w:ascii="宋体" w:hAnsi="宋体" w:eastAsia="宋体" w:cs="宋体"/>
          <w:b w:val="0"/>
          <w:bCs w:val="0"/>
          <w:kern w:val="2"/>
          <w:sz w:val="24"/>
          <w:szCs w:val="24"/>
          <w:lang w:val="en-US" w:eastAsia="zh-CN" w:bidi="ar-SA"/>
        </w:rPr>
        <w:t>基金会项目管理系统</w:t>
      </w:r>
    </w:p>
    <w:tbl>
      <w:tblPr>
        <w:tblStyle w:val="20"/>
        <w:tblpPr w:leftFromText="180" w:rightFromText="180" w:vertAnchor="text" w:horzAnchor="page" w:tblpX="1724" w:tblpY="306"/>
        <w:tblOverlap w:val="never"/>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67"/>
        <w:gridCol w:w="1317"/>
        <w:gridCol w:w="6300"/>
      </w:tblGrid>
      <w:tr w14:paraId="0618A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73CE42C1">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序号</w:t>
            </w:r>
          </w:p>
        </w:tc>
        <w:tc>
          <w:tcPr>
            <w:tcW w:w="1317" w:type="dxa"/>
            <w:shd w:val="clear" w:color="000000" w:fill="FFFFFF"/>
            <w:noWrap w:val="0"/>
            <w:vAlign w:val="top"/>
          </w:tcPr>
          <w:p w14:paraId="1A607BED">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功能模块</w:t>
            </w:r>
          </w:p>
        </w:tc>
        <w:tc>
          <w:tcPr>
            <w:tcW w:w="6300" w:type="dxa"/>
            <w:shd w:val="clear" w:color="000000" w:fill="FFFFFF"/>
            <w:noWrap w:val="0"/>
            <w:vAlign w:val="top"/>
          </w:tcPr>
          <w:p w14:paraId="1556C585">
            <w:pPr>
              <w:pageBreakBefore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24"/>
                <w:szCs w:val="24"/>
              </w:rPr>
            </w:pPr>
            <w:r>
              <w:rPr>
                <w:rFonts w:hint="eastAsia" w:ascii="宋体" w:hAnsi="宋体" w:eastAsia="宋体" w:cs="宋体"/>
                <w:b/>
                <w:bCs/>
                <w:sz w:val="24"/>
                <w:szCs w:val="24"/>
              </w:rPr>
              <w:t>详细描述</w:t>
            </w:r>
          </w:p>
        </w:tc>
      </w:tr>
      <w:tr w14:paraId="528E5E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2574D878">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1317" w:type="dxa"/>
            <w:shd w:val="clear" w:color="000000" w:fill="FFFFFF"/>
            <w:noWrap w:val="0"/>
            <w:vAlign w:val="center"/>
          </w:tcPr>
          <w:p w14:paraId="6A2FB219">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系统登录</w:t>
            </w:r>
          </w:p>
        </w:tc>
        <w:tc>
          <w:tcPr>
            <w:tcW w:w="6300" w:type="dxa"/>
            <w:shd w:val="clear" w:color="000000" w:fill="FFFFFF"/>
            <w:noWrap w:val="0"/>
            <w:vAlign w:val="center"/>
          </w:tcPr>
          <w:p w14:paraId="7B61009C">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登录页实现用户名、密码及验证码登录；支持微信授权登录，页面设计美观，风格简洁大气，可定制登录界面。不同角色，进入系统，可访问权限范围内的菜单和功能。</w:t>
            </w:r>
          </w:p>
        </w:tc>
      </w:tr>
      <w:tr w14:paraId="6F2E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2C8AD0D4">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1317" w:type="dxa"/>
            <w:shd w:val="clear" w:color="000000" w:fill="FFFFFF"/>
            <w:noWrap w:val="0"/>
            <w:vAlign w:val="center"/>
          </w:tcPr>
          <w:p w14:paraId="51A96059">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工作台</w:t>
            </w:r>
          </w:p>
        </w:tc>
        <w:tc>
          <w:tcPr>
            <w:tcW w:w="6300" w:type="dxa"/>
            <w:shd w:val="clear" w:color="000000" w:fill="FFFFFF"/>
            <w:noWrap w:val="0"/>
            <w:vAlign w:val="top"/>
          </w:tcPr>
          <w:p w14:paraId="6FD3EDD5">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工作台提供便捷的方式使用户能够快速的进入到查询和操作页面。工作台包括数据总体概况、收入支出趋势、协议金额趋势、可用余额统计、支出统计、交付计划和审批等内容。</w:t>
            </w:r>
          </w:p>
        </w:tc>
      </w:tr>
      <w:tr w14:paraId="296B1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03E8B63B">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1317" w:type="dxa"/>
            <w:shd w:val="clear" w:color="000000" w:fill="FFFFFF"/>
            <w:noWrap w:val="0"/>
            <w:vAlign w:val="center"/>
          </w:tcPr>
          <w:p w14:paraId="5B25E4C7">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项目中心</w:t>
            </w:r>
          </w:p>
        </w:tc>
        <w:tc>
          <w:tcPr>
            <w:tcW w:w="6300" w:type="dxa"/>
            <w:shd w:val="clear" w:color="000000" w:fill="FFFFFF"/>
            <w:noWrap w:val="0"/>
            <w:vAlign w:val="top"/>
          </w:tcPr>
          <w:p w14:paraId="502C459E">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项目中心包括基金项目总览、项目立项、项目变更、项目年度简报、项目结项等功能。其中基金项目包括项目概况、捐赠协议、协议捐赠计划、入账明细、用款明细、附件、审批记录和日志等子页面。</w:t>
            </w:r>
          </w:p>
          <w:p w14:paraId="60253F7A">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新建项目支持多部门（基金会、立项、执行、联系部门）、多个相关人的添加；</w:t>
            </w:r>
          </w:p>
          <w:p w14:paraId="5C4C48D8">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用户可随时将本地编辑的立项申请表导出为PDF格式下载打印。</w:t>
            </w:r>
          </w:p>
        </w:tc>
      </w:tr>
      <w:tr w14:paraId="53000D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33EA6DCB">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1317" w:type="dxa"/>
            <w:shd w:val="clear" w:color="000000" w:fill="FFFFFF"/>
            <w:noWrap w:val="0"/>
            <w:vAlign w:val="center"/>
          </w:tcPr>
          <w:p w14:paraId="0381C82E">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捐赠协议</w:t>
            </w:r>
          </w:p>
        </w:tc>
        <w:tc>
          <w:tcPr>
            <w:tcW w:w="6300" w:type="dxa"/>
            <w:shd w:val="clear" w:color="000000" w:fill="FFFFFF"/>
            <w:noWrap w:val="0"/>
            <w:vAlign w:val="top"/>
          </w:tcPr>
          <w:p w14:paraId="4FCD97F7">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捐赠协议包括协议总览、协议登记、协议变更等功能。捐赠协议可以查看包括协议概况、相关项目、协议捐赠计划、入账明细、用款明细、附件和日志等子页面。</w:t>
            </w:r>
          </w:p>
          <w:p w14:paraId="10C29300">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新建协议支持多部门（基金会、立项、执行、联系部门）、多个相关人的添加。</w:t>
            </w:r>
          </w:p>
        </w:tc>
      </w:tr>
      <w:tr w14:paraId="7B13C6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0F832204">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1317" w:type="dxa"/>
            <w:shd w:val="clear" w:color="000000" w:fill="FFFFFF"/>
            <w:noWrap w:val="0"/>
            <w:vAlign w:val="center"/>
          </w:tcPr>
          <w:p w14:paraId="755831EF">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到账管理</w:t>
            </w:r>
          </w:p>
        </w:tc>
        <w:tc>
          <w:tcPr>
            <w:tcW w:w="6300" w:type="dxa"/>
            <w:shd w:val="clear" w:color="000000" w:fill="FFFFFF"/>
            <w:noWrap w:val="0"/>
            <w:vAlign w:val="top"/>
          </w:tcPr>
          <w:p w14:paraId="6BC8048B">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支持多种入账方式，基于协议实现基金项目的到账信息管理；包括协议捐赠计划、银行到账认领、入账明细。到账支持多个银行进账单自动导入，至少支持中国银行、招商银行、工商银行等三家银行电子进账单的导入。</w:t>
            </w:r>
          </w:p>
        </w:tc>
      </w:tr>
      <w:tr w14:paraId="2430C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0A23BD80">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1317" w:type="dxa"/>
            <w:shd w:val="clear" w:color="000000" w:fill="FFFFFF"/>
            <w:noWrap w:val="0"/>
            <w:vAlign w:val="center"/>
          </w:tcPr>
          <w:p w14:paraId="674BF983">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用款管理</w:t>
            </w:r>
          </w:p>
        </w:tc>
        <w:tc>
          <w:tcPr>
            <w:tcW w:w="6300" w:type="dxa"/>
            <w:shd w:val="clear" w:color="000000" w:fill="FFFFFF"/>
            <w:noWrap w:val="0"/>
            <w:vAlign w:val="top"/>
          </w:tcPr>
          <w:p w14:paraId="780E52E4">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基于项目实现用款信息笔笔对应，包括用款申请、用款明细、财务拨款。支持每一笔用款可从不同的入账中进行支出。</w:t>
            </w:r>
          </w:p>
        </w:tc>
      </w:tr>
      <w:tr w14:paraId="1A373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61CA90FC">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1317" w:type="dxa"/>
            <w:shd w:val="clear" w:color="000000" w:fill="FFFFFF"/>
            <w:noWrap w:val="0"/>
            <w:vAlign w:val="center"/>
          </w:tcPr>
          <w:p w14:paraId="3043128B">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实物管理</w:t>
            </w:r>
          </w:p>
        </w:tc>
        <w:tc>
          <w:tcPr>
            <w:tcW w:w="6300" w:type="dxa"/>
            <w:shd w:val="clear" w:color="000000" w:fill="FFFFFF"/>
            <w:noWrap w:val="0"/>
            <w:vAlign w:val="top"/>
          </w:tcPr>
          <w:p w14:paraId="2C05F4E1">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类比财务出入账流程，基于审批流程，实现实物捐赠物资录入以及使用的管理。</w:t>
            </w:r>
          </w:p>
        </w:tc>
      </w:tr>
      <w:tr w14:paraId="4F233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4C22224A">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1317" w:type="dxa"/>
            <w:shd w:val="clear" w:color="000000" w:fill="FFFFFF"/>
            <w:noWrap w:val="0"/>
            <w:vAlign w:val="center"/>
          </w:tcPr>
          <w:p w14:paraId="2AA4D17C">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资金划拨</w:t>
            </w:r>
          </w:p>
        </w:tc>
        <w:tc>
          <w:tcPr>
            <w:tcW w:w="6300" w:type="dxa"/>
            <w:shd w:val="clear" w:color="000000" w:fill="FFFFFF"/>
            <w:noWrap w:val="0"/>
            <w:vAlign w:val="top"/>
          </w:tcPr>
          <w:p w14:paraId="2CA99593">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基于基金项目执行过程中，存在执行完成但是存在款项余额的场景。实现资金划拨功能，将已结束状态中项目的剩余资金转移到正在进行中的其他项目当中。转移过程支持已结束项目的留本款项转为动本款项。</w:t>
            </w:r>
          </w:p>
        </w:tc>
      </w:tr>
      <w:tr w14:paraId="75E6B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0575CE1D">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1317" w:type="dxa"/>
            <w:shd w:val="clear" w:color="000000" w:fill="FFFFFF"/>
            <w:noWrap w:val="0"/>
            <w:vAlign w:val="center"/>
          </w:tcPr>
          <w:p w14:paraId="5BE72BCC">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执行管理</w:t>
            </w:r>
          </w:p>
        </w:tc>
        <w:tc>
          <w:tcPr>
            <w:tcW w:w="6300" w:type="dxa"/>
            <w:shd w:val="clear" w:color="000000" w:fill="FFFFFF"/>
            <w:noWrap w:val="0"/>
            <w:vAlign w:val="top"/>
          </w:tcPr>
          <w:p w14:paraId="0A9484AE">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对于项目年度简报、项目结项报告实现总览编辑功能。</w:t>
            </w:r>
          </w:p>
        </w:tc>
      </w:tr>
      <w:tr w14:paraId="488FB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3967F430">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1317" w:type="dxa"/>
            <w:shd w:val="clear" w:color="000000" w:fill="FFFFFF"/>
            <w:noWrap w:val="0"/>
            <w:vAlign w:val="center"/>
          </w:tcPr>
          <w:p w14:paraId="357682D7">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捐赠方管理</w:t>
            </w:r>
          </w:p>
        </w:tc>
        <w:tc>
          <w:tcPr>
            <w:tcW w:w="6300" w:type="dxa"/>
            <w:shd w:val="clear" w:color="000000" w:fill="FFFFFF"/>
            <w:noWrap w:val="0"/>
            <w:vAlign w:val="top"/>
          </w:tcPr>
          <w:p w14:paraId="7D997508">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针对捐赠协议中的捐赠方以及录入系统的捐赠方数据，实现捐赠方管理功能。</w:t>
            </w:r>
          </w:p>
        </w:tc>
      </w:tr>
      <w:tr w14:paraId="388F7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02477CA9">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1317" w:type="dxa"/>
            <w:shd w:val="clear" w:color="000000" w:fill="FFFFFF"/>
            <w:noWrap w:val="0"/>
            <w:vAlign w:val="center"/>
          </w:tcPr>
          <w:p w14:paraId="200F2293">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执行方管理</w:t>
            </w:r>
          </w:p>
        </w:tc>
        <w:tc>
          <w:tcPr>
            <w:tcW w:w="6300" w:type="dxa"/>
            <w:shd w:val="clear" w:color="000000" w:fill="FFFFFF"/>
            <w:noWrap w:val="0"/>
            <w:vAlign w:val="top"/>
          </w:tcPr>
          <w:p w14:paraId="095F2018">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基于学校组织机构数据，实现执行方管理功能。</w:t>
            </w:r>
          </w:p>
        </w:tc>
      </w:tr>
      <w:tr w14:paraId="061917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68C800FF">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1317" w:type="dxa"/>
            <w:shd w:val="clear" w:color="000000" w:fill="FFFFFF"/>
            <w:noWrap w:val="0"/>
            <w:vAlign w:val="center"/>
          </w:tcPr>
          <w:p w14:paraId="35D46E26">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运营中心</w:t>
            </w:r>
          </w:p>
        </w:tc>
        <w:tc>
          <w:tcPr>
            <w:tcW w:w="6300" w:type="dxa"/>
            <w:shd w:val="clear" w:color="000000" w:fill="FFFFFF"/>
            <w:noWrap w:val="0"/>
            <w:vAlign w:val="top"/>
          </w:tcPr>
          <w:p w14:paraId="6D827EF0">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以邮件、短信群发的方式对基金项目的相关人实现情感维系。支持基于群发功能，自动记录邮件短信的群发历史记录，并可查看发送状态。</w:t>
            </w:r>
          </w:p>
        </w:tc>
      </w:tr>
      <w:tr w14:paraId="7A8B79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24CDDE88">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1317" w:type="dxa"/>
            <w:shd w:val="clear" w:color="000000" w:fill="FFFFFF"/>
            <w:noWrap w:val="0"/>
            <w:vAlign w:val="center"/>
          </w:tcPr>
          <w:p w14:paraId="2B9F0402">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审批流程管理</w:t>
            </w:r>
          </w:p>
        </w:tc>
        <w:tc>
          <w:tcPr>
            <w:tcW w:w="6300" w:type="dxa"/>
            <w:shd w:val="clear" w:color="000000" w:fill="FFFFFF"/>
            <w:noWrap w:val="0"/>
            <w:vAlign w:val="center"/>
          </w:tcPr>
          <w:p w14:paraId="554F91EA">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实现对所有审批的审批流程的设置。支持多级审批、以及会签，或签等复杂场景。</w:t>
            </w:r>
          </w:p>
        </w:tc>
      </w:tr>
      <w:tr w14:paraId="54A1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5F129098">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14</w:t>
            </w:r>
          </w:p>
        </w:tc>
        <w:tc>
          <w:tcPr>
            <w:tcW w:w="1317" w:type="dxa"/>
            <w:shd w:val="clear" w:color="000000" w:fill="FFFFFF"/>
            <w:noWrap w:val="0"/>
            <w:vAlign w:val="center"/>
          </w:tcPr>
          <w:p w14:paraId="438B9251">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用户管理</w:t>
            </w:r>
          </w:p>
        </w:tc>
        <w:tc>
          <w:tcPr>
            <w:tcW w:w="6300" w:type="dxa"/>
            <w:shd w:val="clear" w:color="000000" w:fill="FFFFFF"/>
            <w:noWrap w:val="0"/>
            <w:vAlign w:val="center"/>
          </w:tcPr>
          <w:p w14:paraId="5BE52A74">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支持基于角色进行用户管理，每个角色只能查看特定的功能菜单，避免越级操作。支持基于用户的项目查看权限控制。</w:t>
            </w:r>
          </w:p>
        </w:tc>
      </w:tr>
      <w:tr w14:paraId="1CE50A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484327FB">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15</w:t>
            </w:r>
          </w:p>
        </w:tc>
        <w:tc>
          <w:tcPr>
            <w:tcW w:w="1317" w:type="dxa"/>
            <w:shd w:val="clear" w:color="000000" w:fill="FFFFFF"/>
            <w:noWrap w:val="0"/>
            <w:vAlign w:val="center"/>
          </w:tcPr>
          <w:p w14:paraId="3E9432FB">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统计分析</w:t>
            </w:r>
          </w:p>
        </w:tc>
        <w:tc>
          <w:tcPr>
            <w:tcW w:w="6300" w:type="dxa"/>
            <w:shd w:val="clear" w:color="000000" w:fill="FFFFFF"/>
            <w:noWrap w:val="0"/>
            <w:vAlign w:val="top"/>
          </w:tcPr>
          <w:p w14:paraId="66939365">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多角度展示基金项目、捐赠协议及出入帐信息的统计分析结果。支持按基金性质、按项目级别、按项目性质、按项目状态进行过滤展示；每一个分类支持按项目数量、按协议到账、按实际到账、按实际用款、按可用余额进行详细展示；支持以饼状图、柱状图和数据表格形式按年度展示项目总数、协议总数、协议到账金额、实际到账金额、实际用款金额、可用余额等数据。</w:t>
            </w:r>
          </w:p>
        </w:tc>
      </w:tr>
      <w:tr w14:paraId="3E12A9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53A56190">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16</w:t>
            </w:r>
          </w:p>
        </w:tc>
        <w:tc>
          <w:tcPr>
            <w:tcW w:w="1317" w:type="dxa"/>
            <w:shd w:val="clear" w:color="000000" w:fill="FFFFFF"/>
            <w:noWrap w:val="0"/>
            <w:vAlign w:val="center"/>
          </w:tcPr>
          <w:p w14:paraId="4CA0B83D">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附件管理</w:t>
            </w:r>
          </w:p>
        </w:tc>
        <w:tc>
          <w:tcPr>
            <w:tcW w:w="6300" w:type="dxa"/>
            <w:shd w:val="clear" w:color="000000" w:fill="FFFFFF"/>
            <w:noWrap w:val="0"/>
            <w:vAlign w:val="top"/>
          </w:tcPr>
          <w:p w14:paraId="4F7BCF01">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对系统中各类附件进行统一管理，包括附件名称、上传时间、上传人、附件类别、附件说明、备注等信息。支持查看和下载附件。</w:t>
            </w:r>
          </w:p>
        </w:tc>
      </w:tr>
      <w:tr w14:paraId="65581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0" w:hRule="atLeast"/>
        </w:trPr>
        <w:tc>
          <w:tcPr>
            <w:tcW w:w="967" w:type="dxa"/>
            <w:shd w:val="clear" w:color="000000" w:fill="FFFFFF"/>
            <w:noWrap w:val="0"/>
            <w:vAlign w:val="center"/>
          </w:tcPr>
          <w:p w14:paraId="62371DD9">
            <w:pPr>
              <w:pageBreakBefore w:val="0"/>
              <w:widowControl w:val="0"/>
              <w:numPr>
                <w:ilvl w:val="0"/>
                <w:numId w:val="0"/>
              </w:numPr>
              <w:kinsoku/>
              <w:wordWrap/>
              <w:overflowPunct/>
              <w:topLinePunct w:val="0"/>
              <w:autoSpaceDE/>
              <w:autoSpaceDN/>
              <w:bidi w:val="0"/>
              <w:adjustRightInd/>
              <w:snapToGrid/>
              <w:spacing w:line="360" w:lineRule="auto"/>
              <w:jc w:val="center"/>
              <w:textAlignment w:val="auto"/>
              <w:rPr>
                <w:rFonts w:hint="default"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17</w:t>
            </w:r>
          </w:p>
        </w:tc>
        <w:tc>
          <w:tcPr>
            <w:tcW w:w="1317" w:type="dxa"/>
            <w:shd w:val="clear" w:color="000000" w:fill="FFFFFF"/>
            <w:noWrap w:val="0"/>
            <w:vAlign w:val="center"/>
          </w:tcPr>
          <w:p w14:paraId="7208C11E">
            <w:pPr>
              <w:pageBreakBefore w:val="0"/>
              <w:widowControl/>
              <w:kinsoku/>
              <w:wordWrap/>
              <w:overflowPunct/>
              <w:topLinePunct w:val="0"/>
              <w:bidi w:val="0"/>
              <w:spacing w:line="360" w:lineRule="auto"/>
              <w:jc w:val="center"/>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系统设置</w:t>
            </w:r>
          </w:p>
        </w:tc>
        <w:tc>
          <w:tcPr>
            <w:tcW w:w="6300" w:type="dxa"/>
            <w:shd w:val="clear" w:color="000000" w:fill="FFFFFF"/>
            <w:noWrap w:val="0"/>
            <w:vAlign w:val="top"/>
          </w:tcPr>
          <w:p w14:paraId="6B3DA226">
            <w:pPr>
              <w:pageBreakBefore w:val="0"/>
              <w:widowControl/>
              <w:kinsoku/>
              <w:wordWrap/>
              <w:overflowPunct/>
              <w:topLinePunct w:val="0"/>
              <w:bidi w:val="0"/>
              <w:spacing w:line="360" w:lineRule="auto"/>
              <w:jc w:val="both"/>
              <w:rPr>
                <w:rFonts w:hint="eastAsia" w:ascii="宋体" w:hAnsi="宋体" w:eastAsia="宋体" w:cs="宋体"/>
                <w:color w:val="000000"/>
                <w:kern w:val="2"/>
                <w:sz w:val="24"/>
                <w:szCs w:val="24"/>
                <w:lang w:val="en-US" w:eastAsia="zh-CN" w:bidi="ar-SA"/>
              </w:rPr>
            </w:pPr>
            <w:r>
              <w:rPr>
                <w:rFonts w:hint="eastAsia" w:ascii="宋体" w:hAnsi="宋体" w:eastAsia="宋体" w:cs="宋体"/>
                <w:color w:val="000000"/>
                <w:kern w:val="2"/>
                <w:sz w:val="24"/>
                <w:szCs w:val="24"/>
                <w:lang w:val="en-US" w:eastAsia="zh-CN" w:bidi="ar-SA"/>
              </w:rPr>
              <w:t>1、系统配置包括教育基金会使用银行账户信息管理和各种数据字典的管理功能。</w:t>
            </w:r>
          </w:p>
          <w:p w14:paraId="6765C7A9">
            <w:pPr>
              <w:pageBreakBefore w:val="0"/>
              <w:widowControl/>
              <w:kinsoku/>
              <w:wordWrap/>
              <w:overflowPunct/>
              <w:topLinePunct w:val="0"/>
              <w:bidi w:val="0"/>
              <w:spacing w:line="360" w:lineRule="auto"/>
              <w:rPr>
                <w:rFonts w:hint="eastAsia" w:ascii="宋体" w:hAnsi="宋体" w:eastAsia="宋体" w:cs="宋体"/>
                <w:color w:val="000000"/>
                <w:sz w:val="24"/>
                <w:szCs w:val="24"/>
              </w:rPr>
            </w:pPr>
            <w:r>
              <w:rPr>
                <w:rFonts w:hint="eastAsia" w:ascii="宋体" w:hAnsi="宋体" w:eastAsia="宋体" w:cs="宋体"/>
                <w:b w:val="0"/>
                <w:color w:val="000000"/>
                <w:sz w:val="24"/>
                <w:szCs w:val="24"/>
                <w:lang w:val="en-US" w:eastAsia="zh-CN"/>
              </w:rPr>
              <w:t>2、</w:t>
            </w:r>
            <w:r>
              <w:rPr>
                <w:rFonts w:hint="eastAsia" w:ascii="宋体" w:hAnsi="宋体" w:eastAsia="宋体" w:cs="宋体"/>
                <w:b w:val="0"/>
                <w:color w:val="000000"/>
                <w:sz w:val="24"/>
                <w:szCs w:val="24"/>
              </w:rPr>
              <w:t>支持12种及以上类型的消息模板包括但不限于：项目立项审批待办、项目立项审批提醒、协议登记审批待办、协议登记审批提醒、到账认领审批待办、到账认领审批提醒、用款申请审批待办、用款申请审批提醒、项目结项审批待办、项目结项审批提醒、票据申请审批待办、票据申请审批提醒、证书申请审批待办、证书申请审批提醒，提醒的模板可后台编辑，可查看推送门户、短信、邮件的历史记录</w:t>
            </w:r>
            <w:r>
              <w:rPr>
                <w:rFonts w:hint="eastAsia" w:ascii="宋体" w:hAnsi="宋体" w:eastAsia="宋体" w:cs="宋体"/>
                <w:b w:val="0"/>
                <w:color w:val="000000"/>
                <w:sz w:val="24"/>
                <w:szCs w:val="24"/>
                <w:lang w:eastAsia="zh-CN"/>
              </w:rPr>
              <w:t>。</w:t>
            </w:r>
          </w:p>
        </w:tc>
      </w:tr>
    </w:tbl>
    <w:p w14:paraId="28371B7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bookmarkStart w:id="18" w:name="_Toc11500"/>
      <w:bookmarkStart w:id="19" w:name="_Toc156732123"/>
      <w:bookmarkStart w:id="20" w:name="_Toc170207181"/>
      <w:bookmarkStart w:id="21" w:name="_Toc165969588"/>
      <w:r>
        <w:rPr>
          <w:rFonts w:hint="eastAsia" w:ascii="宋体" w:hAnsi="宋体" w:eastAsia="宋体" w:cs="宋体"/>
          <w:kern w:val="2"/>
          <w:sz w:val="24"/>
          <w:szCs w:val="24"/>
          <w:lang w:val="en-US" w:eastAsia="zh-CN" w:bidi="ar-SA"/>
        </w:rPr>
        <w:t>运营</w:t>
      </w:r>
      <w:bookmarkEnd w:id="18"/>
      <w:bookmarkEnd w:id="19"/>
      <w:r>
        <w:rPr>
          <w:rFonts w:hint="eastAsia" w:ascii="宋体" w:hAnsi="宋体" w:eastAsia="宋体" w:cs="宋体"/>
          <w:kern w:val="2"/>
          <w:sz w:val="24"/>
          <w:szCs w:val="24"/>
          <w:lang w:val="en-US" w:eastAsia="zh-CN" w:bidi="ar-SA"/>
        </w:rPr>
        <w:t>服务</w:t>
      </w:r>
      <w:bookmarkEnd w:id="20"/>
      <w:bookmarkEnd w:id="21"/>
      <w:r>
        <w:rPr>
          <w:rFonts w:hint="eastAsia" w:ascii="宋体" w:hAnsi="宋体" w:eastAsia="宋体" w:cs="宋体"/>
          <w:kern w:val="2"/>
          <w:sz w:val="24"/>
          <w:szCs w:val="24"/>
          <w:lang w:val="en-US" w:eastAsia="zh-CN" w:bidi="ar-SA"/>
        </w:rPr>
        <w:t>模块</w:t>
      </w:r>
    </w:p>
    <w:tbl>
      <w:tblPr>
        <w:tblStyle w:val="20"/>
        <w:tblW w:w="516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29"/>
        <w:gridCol w:w="1525"/>
        <w:gridCol w:w="1840"/>
        <w:gridCol w:w="4339"/>
      </w:tblGrid>
      <w:tr w14:paraId="2025F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14" w:hRule="atLeast"/>
          <w:jc w:val="center"/>
        </w:trPr>
        <w:tc>
          <w:tcPr>
            <w:tcW w:w="538" w:type="pct"/>
            <w:shd w:val="clear" w:color="000000" w:fill="FFFFFF"/>
            <w:noWrap w:val="0"/>
            <w:vAlign w:val="center"/>
          </w:tcPr>
          <w:p w14:paraId="5FC2512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序号</w:t>
            </w:r>
          </w:p>
        </w:tc>
        <w:tc>
          <w:tcPr>
            <w:tcW w:w="1948" w:type="pct"/>
            <w:gridSpan w:val="2"/>
            <w:shd w:val="clear" w:color="000000" w:fill="FFFFFF"/>
            <w:noWrap w:val="0"/>
            <w:vAlign w:val="center"/>
          </w:tcPr>
          <w:p w14:paraId="0FA51522">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功能模块</w:t>
            </w:r>
          </w:p>
        </w:tc>
        <w:tc>
          <w:tcPr>
            <w:tcW w:w="2513" w:type="pct"/>
            <w:shd w:val="clear" w:color="000000" w:fill="FFFFFF"/>
            <w:noWrap w:val="0"/>
            <w:vAlign w:val="center"/>
          </w:tcPr>
          <w:p w14:paraId="507E56ED">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b/>
                <w:bCs w:val="0"/>
                <w:kern w:val="2"/>
                <w:sz w:val="24"/>
                <w:szCs w:val="24"/>
                <w:lang w:val="en-US" w:eastAsia="zh-CN" w:bidi="ar-SA"/>
              </w:rPr>
            </w:pPr>
            <w:r>
              <w:rPr>
                <w:rFonts w:hint="eastAsia" w:ascii="宋体" w:hAnsi="宋体" w:eastAsia="宋体" w:cs="宋体"/>
                <w:b/>
                <w:bCs w:val="0"/>
                <w:kern w:val="2"/>
                <w:sz w:val="24"/>
                <w:szCs w:val="24"/>
                <w:lang w:val="en-US" w:eastAsia="zh-CN" w:bidi="ar-SA"/>
              </w:rPr>
              <w:t>详细描述</w:t>
            </w:r>
          </w:p>
        </w:tc>
      </w:tr>
      <w:tr w14:paraId="3FFA0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44" w:hRule="atLeast"/>
          <w:jc w:val="center"/>
        </w:trPr>
        <w:tc>
          <w:tcPr>
            <w:tcW w:w="538" w:type="pct"/>
            <w:shd w:val="clear" w:color="000000" w:fill="FFFFFF"/>
            <w:noWrap w:val="0"/>
            <w:vAlign w:val="center"/>
          </w:tcPr>
          <w:p w14:paraId="7C8DF7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w:t>
            </w:r>
          </w:p>
        </w:tc>
        <w:tc>
          <w:tcPr>
            <w:tcW w:w="883" w:type="pct"/>
            <w:vMerge w:val="restart"/>
            <w:shd w:val="clear" w:color="000000" w:fill="FFFFFF"/>
            <w:noWrap w:val="0"/>
            <w:vAlign w:val="center"/>
          </w:tcPr>
          <w:p w14:paraId="77DCEACC">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公众号</w:t>
            </w:r>
          </w:p>
          <w:p w14:paraId="1E7271AA">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运营分析</w:t>
            </w:r>
          </w:p>
        </w:tc>
        <w:tc>
          <w:tcPr>
            <w:tcW w:w="1065" w:type="pct"/>
            <w:shd w:val="clear" w:color="000000" w:fill="FFFFFF"/>
            <w:noWrap w:val="0"/>
            <w:vAlign w:val="center"/>
          </w:tcPr>
          <w:p w14:paraId="447E6548">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月度分析</w:t>
            </w:r>
          </w:p>
        </w:tc>
        <w:tc>
          <w:tcPr>
            <w:tcW w:w="2513" w:type="pct"/>
            <w:shd w:val="clear" w:color="000000" w:fill="FFFFFF"/>
            <w:noWrap w:val="0"/>
            <w:vAlign w:val="center"/>
          </w:tcPr>
          <w:p w14:paraId="64472DC5">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实现公众号每月运营分析。指标参数应包含公众号排名、当月文章平均阅读数、当月发布文章篇数、当月文章总点赞数等指标。</w:t>
            </w:r>
          </w:p>
        </w:tc>
      </w:tr>
      <w:tr w14:paraId="089117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6" w:hRule="atLeast"/>
          <w:jc w:val="center"/>
        </w:trPr>
        <w:tc>
          <w:tcPr>
            <w:tcW w:w="538" w:type="pct"/>
            <w:shd w:val="clear" w:color="000000" w:fill="FFFFFF"/>
            <w:noWrap w:val="0"/>
            <w:vAlign w:val="center"/>
          </w:tcPr>
          <w:p w14:paraId="49FFF0F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w:t>
            </w:r>
          </w:p>
        </w:tc>
        <w:tc>
          <w:tcPr>
            <w:tcW w:w="883" w:type="pct"/>
            <w:vMerge w:val="continue"/>
            <w:shd w:val="clear" w:color="000000" w:fill="FFFFFF"/>
            <w:noWrap w:val="0"/>
            <w:vAlign w:val="center"/>
          </w:tcPr>
          <w:p w14:paraId="451DE86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065" w:type="pct"/>
            <w:shd w:val="clear" w:color="000000" w:fill="FFFFFF"/>
            <w:noWrap w:val="0"/>
            <w:vAlign w:val="center"/>
          </w:tcPr>
          <w:p w14:paraId="3ED591F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上半年分析</w:t>
            </w:r>
          </w:p>
        </w:tc>
        <w:tc>
          <w:tcPr>
            <w:tcW w:w="2513" w:type="pct"/>
            <w:shd w:val="clear" w:color="000000" w:fill="FFFFFF"/>
            <w:noWrap w:val="0"/>
            <w:vAlign w:val="center"/>
          </w:tcPr>
          <w:p w14:paraId="36808227">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实现公众号上半年运营分析。</w:t>
            </w:r>
          </w:p>
        </w:tc>
      </w:tr>
      <w:tr w14:paraId="7E62C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8" w:hRule="atLeast"/>
          <w:jc w:val="center"/>
        </w:trPr>
        <w:tc>
          <w:tcPr>
            <w:tcW w:w="538" w:type="pct"/>
            <w:shd w:val="clear" w:color="000000" w:fill="FFFFFF"/>
            <w:noWrap w:val="0"/>
            <w:vAlign w:val="center"/>
          </w:tcPr>
          <w:p w14:paraId="4D86C5F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w:t>
            </w:r>
          </w:p>
        </w:tc>
        <w:tc>
          <w:tcPr>
            <w:tcW w:w="883" w:type="pct"/>
            <w:vMerge w:val="continue"/>
            <w:shd w:val="clear" w:color="000000" w:fill="FFFFFF"/>
            <w:noWrap w:val="0"/>
            <w:vAlign w:val="center"/>
          </w:tcPr>
          <w:p w14:paraId="16CC169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065" w:type="pct"/>
            <w:shd w:val="clear" w:color="000000" w:fill="FFFFFF"/>
            <w:noWrap w:val="0"/>
            <w:vAlign w:val="center"/>
          </w:tcPr>
          <w:p w14:paraId="7C8E9B3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年度分析</w:t>
            </w:r>
          </w:p>
        </w:tc>
        <w:tc>
          <w:tcPr>
            <w:tcW w:w="2513" w:type="pct"/>
            <w:shd w:val="clear" w:color="000000" w:fill="FFFFFF"/>
            <w:noWrap w:val="0"/>
            <w:vAlign w:val="center"/>
          </w:tcPr>
          <w:p w14:paraId="4106C09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实现公众号全年运营分析。</w:t>
            </w:r>
          </w:p>
        </w:tc>
      </w:tr>
      <w:tr w14:paraId="6E089B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538" w:type="pct"/>
            <w:shd w:val="clear" w:color="000000" w:fill="FFFFFF"/>
            <w:noWrap w:val="0"/>
            <w:vAlign w:val="center"/>
          </w:tcPr>
          <w:p w14:paraId="335115DD">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w:t>
            </w:r>
          </w:p>
        </w:tc>
        <w:tc>
          <w:tcPr>
            <w:tcW w:w="883" w:type="pct"/>
            <w:vMerge w:val="continue"/>
            <w:shd w:val="clear" w:color="000000" w:fill="FFFFFF"/>
            <w:noWrap w:val="0"/>
            <w:vAlign w:val="center"/>
          </w:tcPr>
          <w:p w14:paraId="180F0AA4">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065" w:type="pct"/>
            <w:shd w:val="clear" w:color="000000" w:fill="FFFFFF"/>
            <w:noWrap w:val="0"/>
            <w:vAlign w:val="center"/>
          </w:tcPr>
          <w:p w14:paraId="05C4FAE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对比分析</w:t>
            </w:r>
          </w:p>
        </w:tc>
        <w:tc>
          <w:tcPr>
            <w:tcW w:w="2513" w:type="pct"/>
            <w:shd w:val="clear" w:color="000000" w:fill="FFFFFF"/>
            <w:noWrap w:val="0"/>
            <w:vAlign w:val="center"/>
          </w:tcPr>
          <w:p w14:paraId="43A66549">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实现公众号和指定对比公众号的运营对比分析。</w:t>
            </w:r>
          </w:p>
        </w:tc>
      </w:tr>
      <w:tr w14:paraId="1226B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538" w:type="pct"/>
            <w:tcBorders>
              <w:top w:val="single" w:color="auto" w:sz="4" w:space="0"/>
              <w:left w:val="single" w:color="auto" w:sz="4" w:space="0"/>
              <w:right w:val="single" w:color="auto" w:sz="4" w:space="0"/>
            </w:tcBorders>
            <w:shd w:val="clear" w:color="000000" w:fill="FFFFFF"/>
            <w:noWrap w:val="0"/>
            <w:vAlign w:val="center"/>
          </w:tcPr>
          <w:p w14:paraId="496ADDBA">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5</w:t>
            </w:r>
          </w:p>
        </w:tc>
        <w:tc>
          <w:tcPr>
            <w:tcW w:w="883" w:type="pct"/>
            <w:vMerge w:val="restart"/>
            <w:tcBorders>
              <w:top w:val="single" w:color="auto" w:sz="4" w:space="0"/>
              <w:left w:val="single" w:color="auto" w:sz="4" w:space="0"/>
              <w:right w:val="single" w:color="auto" w:sz="4" w:space="0"/>
            </w:tcBorders>
            <w:shd w:val="clear" w:color="000000" w:fill="FFFFFF"/>
            <w:noWrap w:val="0"/>
            <w:vAlign w:val="center"/>
          </w:tcPr>
          <w:p w14:paraId="4ADB5A85">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订阅</w:t>
            </w:r>
          </w:p>
          <w:p w14:paraId="556AD88B">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推送</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22A7C1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公众号订阅</w:t>
            </w:r>
          </w:p>
        </w:tc>
        <w:tc>
          <w:tcPr>
            <w:tcW w:w="251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22F1AE3">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基于订阅的公众号，系统智能推送最新的公众号推文。可以订阅同行公众号、地方校友组织、院系、行业校友组织公众号，及时发现其他高校的优秀内容、掌握地方（院系）校友会的最新动态。</w:t>
            </w:r>
          </w:p>
        </w:tc>
      </w:tr>
      <w:tr w14:paraId="1DA70E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538" w:type="pct"/>
            <w:tcBorders>
              <w:left w:val="single" w:color="auto" w:sz="4" w:space="0"/>
              <w:right w:val="single" w:color="auto" w:sz="4" w:space="0"/>
            </w:tcBorders>
            <w:shd w:val="clear" w:color="000000" w:fill="FFFFFF"/>
            <w:noWrap w:val="0"/>
            <w:vAlign w:val="center"/>
          </w:tcPr>
          <w:p w14:paraId="74FFFCA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6</w:t>
            </w:r>
          </w:p>
        </w:tc>
        <w:tc>
          <w:tcPr>
            <w:tcW w:w="883" w:type="pct"/>
            <w:vMerge w:val="continue"/>
            <w:tcBorders>
              <w:left w:val="single" w:color="auto" w:sz="4" w:space="0"/>
              <w:right w:val="single" w:color="auto" w:sz="4" w:space="0"/>
            </w:tcBorders>
            <w:shd w:val="clear" w:color="000000" w:fill="FFFFFF"/>
            <w:noWrap w:val="0"/>
            <w:vAlign w:val="center"/>
          </w:tcPr>
          <w:p w14:paraId="60F2CDBF">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70BE440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订阅查询</w:t>
            </w:r>
          </w:p>
        </w:tc>
        <w:tc>
          <w:tcPr>
            <w:tcW w:w="251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9B985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基于公众号类型、公众号名称、推文标题和订阅分类查询公众号推文。</w:t>
            </w:r>
          </w:p>
        </w:tc>
      </w:tr>
      <w:tr w14:paraId="59AD04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538" w:type="pct"/>
            <w:tcBorders>
              <w:left w:val="single" w:color="auto" w:sz="4" w:space="0"/>
              <w:right w:val="single" w:color="auto" w:sz="4" w:space="0"/>
            </w:tcBorders>
            <w:shd w:val="clear" w:color="000000" w:fill="FFFFFF"/>
            <w:noWrap w:val="0"/>
            <w:vAlign w:val="center"/>
          </w:tcPr>
          <w:p w14:paraId="5F58F3F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7</w:t>
            </w:r>
          </w:p>
        </w:tc>
        <w:tc>
          <w:tcPr>
            <w:tcW w:w="883" w:type="pct"/>
            <w:vMerge w:val="continue"/>
            <w:tcBorders>
              <w:left w:val="single" w:color="auto" w:sz="4" w:space="0"/>
              <w:right w:val="single" w:color="auto" w:sz="4" w:space="0"/>
            </w:tcBorders>
            <w:shd w:val="clear" w:color="000000" w:fill="FFFFFF"/>
            <w:noWrap w:val="0"/>
            <w:vAlign w:val="center"/>
          </w:tcPr>
          <w:p w14:paraId="7089D227">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44D2F6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管理订阅</w:t>
            </w:r>
          </w:p>
        </w:tc>
        <w:tc>
          <w:tcPr>
            <w:tcW w:w="251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F07280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新增或删除订阅的公众号,公众号类型包括同行公众号、地方校友组织、院系、行业校友组织公众号等。</w:t>
            </w:r>
          </w:p>
        </w:tc>
      </w:tr>
      <w:tr w14:paraId="5FC36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538" w:type="pct"/>
            <w:tcBorders>
              <w:top w:val="single" w:color="auto" w:sz="4" w:space="0"/>
              <w:left w:val="single" w:color="auto" w:sz="4" w:space="0"/>
              <w:right w:val="single" w:color="auto" w:sz="4" w:space="0"/>
            </w:tcBorders>
            <w:shd w:val="clear" w:color="000000" w:fill="FFFFFF"/>
            <w:noWrap w:val="0"/>
            <w:vAlign w:val="center"/>
          </w:tcPr>
          <w:p w14:paraId="71D1463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8</w:t>
            </w:r>
          </w:p>
        </w:tc>
        <w:tc>
          <w:tcPr>
            <w:tcW w:w="883" w:type="pct"/>
            <w:vMerge w:val="restart"/>
            <w:tcBorders>
              <w:top w:val="single" w:color="auto" w:sz="4" w:space="0"/>
              <w:left w:val="single" w:color="auto" w:sz="4" w:space="0"/>
              <w:right w:val="single" w:color="auto" w:sz="4" w:space="0"/>
            </w:tcBorders>
            <w:shd w:val="clear" w:color="000000" w:fill="FFFFFF"/>
            <w:noWrap w:val="0"/>
            <w:vAlign w:val="center"/>
          </w:tcPr>
          <w:p w14:paraId="09177E59">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行业资讯搜索</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D443E8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公众号推文</w:t>
            </w:r>
          </w:p>
        </w:tc>
        <w:tc>
          <w:tcPr>
            <w:tcW w:w="251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083966">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提供校友办、基金会的相关文章。</w:t>
            </w:r>
          </w:p>
        </w:tc>
      </w:tr>
      <w:tr w14:paraId="6F0D5C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538" w:type="pct"/>
            <w:tcBorders>
              <w:left w:val="single" w:color="auto" w:sz="4" w:space="0"/>
              <w:right w:val="single" w:color="auto" w:sz="4" w:space="0"/>
            </w:tcBorders>
            <w:shd w:val="clear" w:color="000000" w:fill="FFFFFF"/>
            <w:noWrap w:val="0"/>
            <w:vAlign w:val="center"/>
          </w:tcPr>
          <w:p w14:paraId="3C52AA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9</w:t>
            </w:r>
          </w:p>
        </w:tc>
        <w:tc>
          <w:tcPr>
            <w:tcW w:w="883" w:type="pct"/>
            <w:vMerge w:val="continue"/>
            <w:tcBorders>
              <w:left w:val="single" w:color="auto" w:sz="4" w:space="0"/>
              <w:right w:val="single" w:color="auto" w:sz="4" w:space="0"/>
            </w:tcBorders>
            <w:shd w:val="clear" w:color="000000" w:fill="FFFFFF"/>
            <w:noWrap w:val="0"/>
            <w:vAlign w:val="center"/>
          </w:tcPr>
          <w:p w14:paraId="7F0BFCD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C2E0FF">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荐读</w:t>
            </w:r>
          </w:p>
        </w:tc>
        <w:tc>
          <w:tcPr>
            <w:tcW w:w="251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66FC10C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提供全国高校校友工作和基金工作动态和行业资讯参考。</w:t>
            </w:r>
          </w:p>
        </w:tc>
      </w:tr>
      <w:tr w14:paraId="7DD90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538" w:type="pct"/>
            <w:tcBorders>
              <w:left w:val="single" w:color="auto" w:sz="4" w:space="0"/>
              <w:right w:val="single" w:color="auto" w:sz="4" w:space="0"/>
            </w:tcBorders>
            <w:shd w:val="clear" w:color="000000" w:fill="FFFFFF"/>
            <w:noWrap w:val="0"/>
            <w:vAlign w:val="center"/>
          </w:tcPr>
          <w:p w14:paraId="17981E0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10</w:t>
            </w:r>
          </w:p>
        </w:tc>
        <w:tc>
          <w:tcPr>
            <w:tcW w:w="883" w:type="pct"/>
            <w:vMerge w:val="continue"/>
            <w:tcBorders>
              <w:left w:val="single" w:color="auto" w:sz="4" w:space="0"/>
              <w:right w:val="single" w:color="auto" w:sz="4" w:space="0"/>
            </w:tcBorders>
            <w:shd w:val="clear" w:color="000000" w:fill="FFFFFF"/>
            <w:noWrap w:val="0"/>
            <w:vAlign w:val="center"/>
          </w:tcPr>
          <w:p w14:paraId="3EE3D99A">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38E6A2">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案例集锦</w:t>
            </w:r>
          </w:p>
        </w:tc>
        <w:tc>
          <w:tcPr>
            <w:tcW w:w="251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9CE8A4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查询国内学校校友会、基金会工作典型案例。</w:t>
            </w:r>
          </w:p>
        </w:tc>
      </w:tr>
      <w:tr w14:paraId="3D1CB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538" w:type="pct"/>
            <w:tcBorders>
              <w:left w:val="single" w:color="auto" w:sz="4" w:space="0"/>
              <w:right w:val="single" w:color="auto" w:sz="4" w:space="0"/>
            </w:tcBorders>
            <w:shd w:val="clear" w:color="000000" w:fill="FFFFFF"/>
            <w:noWrap w:val="0"/>
            <w:vAlign w:val="center"/>
          </w:tcPr>
          <w:p w14:paraId="627F73F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11</w:t>
            </w:r>
          </w:p>
        </w:tc>
        <w:tc>
          <w:tcPr>
            <w:tcW w:w="883" w:type="pct"/>
            <w:vMerge w:val="restart"/>
            <w:tcBorders>
              <w:left w:val="single" w:color="auto" w:sz="4" w:space="0"/>
              <w:right w:val="single" w:color="auto" w:sz="4" w:space="0"/>
            </w:tcBorders>
            <w:shd w:val="clear" w:color="000000" w:fill="FFFFFF"/>
            <w:noWrap w:val="0"/>
            <w:vAlign w:val="center"/>
          </w:tcPr>
          <w:p w14:paraId="23B46F20">
            <w:pPr>
              <w:keepNext w:val="0"/>
              <w:keepLines w:val="0"/>
              <w:pageBreakBefore w:val="0"/>
              <w:widowControl w:val="0"/>
              <w:kinsoku/>
              <w:wordWrap/>
              <w:overflowPunct/>
              <w:topLinePunct w:val="0"/>
              <w:autoSpaceDE/>
              <w:autoSpaceDN/>
              <w:bidi w:val="0"/>
              <w:adjustRightInd/>
              <w:snapToGrid/>
              <w:spacing w:line="360" w:lineRule="auto"/>
              <w:ind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平台运营</w:t>
            </w: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78EC3E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上线运营</w:t>
            </w:r>
          </w:p>
        </w:tc>
        <w:tc>
          <w:tcPr>
            <w:tcW w:w="251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1CB9DC9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基于平台上线时间，提供上线运营服务，包括上线推文、宣传图片、基于平台的上线活动策划案例参考等。</w:t>
            </w:r>
          </w:p>
        </w:tc>
      </w:tr>
      <w:tr w14:paraId="3D2BE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538" w:type="pct"/>
            <w:tcBorders>
              <w:left w:val="single" w:color="auto" w:sz="4" w:space="0"/>
              <w:right w:val="single" w:color="auto" w:sz="4" w:space="0"/>
            </w:tcBorders>
            <w:shd w:val="clear" w:color="000000" w:fill="FFFFFF"/>
            <w:noWrap w:val="0"/>
            <w:vAlign w:val="center"/>
          </w:tcPr>
          <w:p w14:paraId="4E10F60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12</w:t>
            </w:r>
          </w:p>
        </w:tc>
        <w:tc>
          <w:tcPr>
            <w:tcW w:w="883" w:type="pct"/>
            <w:vMerge w:val="continue"/>
            <w:tcBorders>
              <w:left w:val="single" w:color="auto" w:sz="4" w:space="0"/>
              <w:right w:val="single" w:color="auto" w:sz="4" w:space="0"/>
            </w:tcBorders>
            <w:shd w:val="clear" w:color="000000" w:fill="FFFFFF"/>
            <w:noWrap w:val="0"/>
            <w:vAlign w:val="center"/>
          </w:tcPr>
          <w:p w14:paraId="0243B48C">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3BD1A6B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日常运营</w:t>
            </w:r>
          </w:p>
        </w:tc>
        <w:tc>
          <w:tcPr>
            <w:tcW w:w="251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D929E61">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基于学校日常特定的时间点和需求，提供运营支持服务，提供相关运营活动方案案例参考。</w:t>
            </w:r>
          </w:p>
        </w:tc>
      </w:tr>
      <w:tr w14:paraId="14F4C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1" w:hRule="atLeast"/>
          <w:jc w:val="center"/>
        </w:trPr>
        <w:tc>
          <w:tcPr>
            <w:tcW w:w="538" w:type="pct"/>
            <w:tcBorders>
              <w:left w:val="single" w:color="auto" w:sz="4" w:space="0"/>
              <w:bottom w:val="single" w:color="auto" w:sz="4" w:space="0"/>
              <w:right w:val="single" w:color="auto" w:sz="4" w:space="0"/>
            </w:tcBorders>
            <w:shd w:val="clear" w:color="000000" w:fill="FFFFFF"/>
            <w:noWrap w:val="0"/>
            <w:vAlign w:val="center"/>
          </w:tcPr>
          <w:p w14:paraId="78FE28AC">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firstLine="0" w:firstLineChars="0"/>
              <w:jc w:val="center"/>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13</w:t>
            </w:r>
          </w:p>
        </w:tc>
        <w:tc>
          <w:tcPr>
            <w:tcW w:w="883" w:type="pct"/>
            <w:vMerge w:val="continue"/>
            <w:tcBorders>
              <w:left w:val="single" w:color="auto" w:sz="4" w:space="0"/>
              <w:bottom w:val="single" w:color="auto" w:sz="4" w:space="0"/>
              <w:right w:val="single" w:color="auto" w:sz="4" w:space="0"/>
            </w:tcBorders>
            <w:shd w:val="clear" w:color="000000" w:fill="FFFFFF"/>
            <w:noWrap w:val="0"/>
            <w:vAlign w:val="center"/>
          </w:tcPr>
          <w:p w14:paraId="3C2C18BB">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p>
        </w:tc>
        <w:tc>
          <w:tcPr>
            <w:tcW w:w="106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0014236E">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特定时间点运营支持</w:t>
            </w:r>
          </w:p>
        </w:tc>
        <w:tc>
          <w:tcPr>
            <w:tcW w:w="2513"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BDB84CD">
            <w:pPr>
              <w:keepNext w:val="0"/>
              <w:keepLines w:val="0"/>
              <w:pageBreakBefore w:val="0"/>
              <w:widowControl w:val="0"/>
              <w:kinsoku/>
              <w:wordWrap/>
              <w:overflowPunct/>
              <w:topLinePunct w:val="0"/>
              <w:autoSpaceDE/>
              <w:autoSpaceDN/>
              <w:bidi w:val="0"/>
              <w:adjustRightInd/>
              <w:snapToGrid/>
              <w:spacing w:line="360" w:lineRule="auto"/>
              <w:ind w:firstLine="0" w:firstLineChars="0"/>
              <w:jc w:val="both"/>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结合学校校友工作特定时间点，包括校庆、毕业季、值年返校、校友组织迎新、新年等，提供运营策划服务参考。</w:t>
            </w:r>
          </w:p>
        </w:tc>
      </w:tr>
    </w:tbl>
    <w:p w14:paraId="590BB1C7">
      <w:pPr>
        <w:keepNext w:val="0"/>
        <w:keepLines w:val="0"/>
        <w:pageBreakBefore w:val="0"/>
        <w:widowControl/>
        <w:kinsoku/>
        <w:wordWrap/>
        <w:overflowPunct/>
        <w:topLinePunct w:val="0"/>
        <w:autoSpaceDE/>
        <w:autoSpaceDN/>
        <w:bidi w:val="0"/>
        <w:adjustRightInd/>
        <w:snapToGrid/>
        <w:spacing w:line="360" w:lineRule="auto"/>
        <w:ind w:firstLine="562"/>
        <w:textAlignment w:val="auto"/>
        <w:outlineLvl w:val="0"/>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b/>
          <w:i w:val="0"/>
          <w:iCs w:val="0"/>
          <w:caps w:val="0"/>
          <w:color w:val="333333"/>
          <w:spacing w:val="0"/>
          <w:kern w:val="0"/>
          <w:sz w:val="24"/>
          <w:szCs w:val="24"/>
          <w:lang w:val="en-US" w:eastAsia="zh-CN" w:bidi="ar"/>
        </w:rPr>
        <w:t>五、技术要求</w:t>
      </w:r>
    </w:p>
    <w:p w14:paraId="6049CFA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符合国家有关规定。系统建设必须符合我国相关部门制订的标准，对安全策略、密码与安全设备选用、网络互联、安全管理等必须符合我国信息安全法律法规。</w:t>
      </w:r>
    </w:p>
    <w:p w14:paraId="1DC0038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统一信息标准。系统的设计和开发，需遵从学校统一的信息标准，对于学校暂无的编码标准应与学校共同商讨确定完善数据编码标准。项目完成后，需提交系统的 API 接口手册、数据字典、数据标准手册。</w:t>
      </w:r>
    </w:p>
    <w:p w14:paraId="311A2600">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系统架构先进性。要求选用分布式的技术架构、图形化操作界面、简易快捷的操作方式。要求后端</w:t>
      </w:r>
      <w:r>
        <w:rPr>
          <w:rFonts w:hint="eastAsia" w:ascii="宋体" w:hAnsi="宋体" w:eastAsia="宋体" w:cs="宋体"/>
          <w:sz w:val="24"/>
          <w:szCs w:val="24"/>
          <w:lang w:eastAsia="zh-CN"/>
        </w:rPr>
        <w:t>能够</w:t>
      </w:r>
      <w:r>
        <w:rPr>
          <w:rFonts w:hint="eastAsia" w:ascii="宋体" w:hAnsi="宋体" w:eastAsia="宋体" w:cs="宋体"/>
          <w:sz w:val="24"/>
          <w:szCs w:val="24"/>
        </w:rPr>
        <w:t>支持主流 Linux系统环境部署，前端</w:t>
      </w:r>
      <w:r>
        <w:rPr>
          <w:rFonts w:hint="eastAsia" w:ascii="宋体" w:hAnsi="宋体" w:eastAsia="宋体" w:cs="宋体"/>
          <w:sz w:val="24"/>
          <w:szCs w:val="24"/>
          <w:lang w:eastAsia="zh-CN"/>
        </w:rPr>
        <w:t>能够</w:t>
      </w:r>
      <w:r>
        <w:rPr>
          <w:rFonts w:hint="eastAsia" w:ascii="宋体" w:hAnsi="宋体" w:eastAsia="宋体" w:cs="宋体"/>
          <w:sz w:val="24"/>
          <w:szCs w:val="24"/>
        </w:rPr>
        <w:t>支持 WINDOWS、Linux、Mac OS、UOS</w:t>
      </w:r>
      <w:r>
        <w:rPr>
          <w:rFonts w:hint="eastAsia" w:ascii="宋体" w:hAnsi="宋体" w:eastAsia="宋体" w:cs="宋体"/>
          <w:sz w:val="24"/>
          <w:szCs w:val="24"/>
          <w:lang w:eastAsia="zh-CN"/>
        </w:rPr>
        <w:t>、鸿蒙</w:t>
      </w:r>
      <w:r>
        <w:rPr>
          <w:rFonts w:hint="eastAsia" w:ascii="宋体" w:hAnsi="宋体" w:eastAsia="宋体" w:cs="宋体"/>
          <w:sz w:val="24"/>
          <w:szCs w:val="24"/>
        </w:rPr>
        <w:t>等操作系统</w:t>
      </w:r>
      <w:r>
        <w:rPr>
          <w:rFonts w:hint="eastAsia" w:ascii="宋体" w:hAnsi="宋体" w:eastAsia="宋体" w:cs="宋体"/>
          <w:strike w:val="0"/>
          <w:dstrike w:val="0"/>
          <w:sz w:val="24"/>
          <w:szCs w:val="24"/>
          <w:highlight w:val="none"/>
        </w:rPr>
        <w:t>（含主要国产操作系统）</w:t>
      </w:r>
      <w:r>
        <w:rPr>
          <w:rFonts w:hint="eastAsia" w:ascii="宋体" w:hAnsi="宋体" w:eastAsia="宋体" w:cs="宋体"/>
          <w:sz w:val="24"/>
          <w:szCs w:val="24"/>
        </w:rPr>
        <w:t>各版本浏览器运行的 B/S 架构界面。系统需采用超文本传输安全协议（即https）访问，保证传输安全性。同时需搭载 nginx等类似的代理软件，运用其反向代理以及负载均衡，能抗中度并发并且服务器不用过多开放其他端口。系统</w:t>
      </w:r>
      <w:r>
        <w:rPr>
          <w:rFonts w:hint="eastAsia" w:ascii="宋体" w:hAnsi="宋体" w:eastAsia="宋体" w:cs="宋体"/>
          <w:sz w:val="24"/>
          <w:szCs w:val="24"/>
          <w:lang w:eastAsia="zh-CN"/>
        </w:rPr>
        <w:t>能够</w:t>
      </w:r>
      <w:r>
        <w:rPr>
          <w:rFonts w:hint="eastAsia" w:ascii="宋体" w:hAnsi="宋体" w:eastAsia="宋体" w:cs="宋体"/>
          <w:sz w:val="24"/>
          <w:szCs w:val="24"/>
        </w:rPr>
        <w:t>至少20000人同时在线，系统在5000个用户的负载下，登陆时间</w:t>
      </w:r>
      <w:r>
        <w:rPr>
          <w:rFonts w:hint="eastAsia" w:ascii="宋体" w:hAnsi="宋体" w:eastAsia="宋体" w:cs="宋体"/>
          <w:sz w:val="24"/>
          <w:szCs w:val="24"/>
          <w:lang w:eastAsia="zh-CN"/>
        </w:rPr>
        <w:t>延时小于</w:t>
      </w:r>
      <w:r>
        <w:rPr>
          <w:rFonts w:hint="eastAsia" w:ascii="宋体" w:hAnsi="宋体" w:eastAsia="宋体" w:cs="宋体"/>
          <w:sz w:val="24"/>
          <w:szCs w:val="24"/>
          <w:lang w:val="en-US" w:eastAsia="zh-CN"/>
        </w:rPr>
        <w:t>2</w:t>
      </w:r>
      <w:r>
        <w:rPr>
          <w:rFonts w:hint="eastAsia" w:ascii="宋体" w:hAnsi="宋体" w:eastAsia="宋体" w:cs="宋体"/>
          <w:sz w:val="24"/>
          <w:szCs w:val="24"/>
        </w:rPr>
        <w:t>秒；系统软件响应时间</w:t>
      </w:r>
      <w:r>
        <w:rPr>
          <w:rFonts w:hint="eastAsia" w:ascii="宋体" w:hAnsi="宋体" w:eastAsia="宋体" w:cs="宋体"/>
          <w:sz w:val="24"/>
          <w:szCs w:val="24"/>
          <w:lang w:eastAsia="zh-CN"/>
        </w:rPr>
        <w:t>延时小于</w:t>
      </w:r>
      <w:r>
        <w:rPr>
          <w:rFonts w:hint="eastAsia" w:ascii="宋体" w:hAnsi="宋体" w:eastAsia="宋体" w:cs="宋体"/>
          <w:sz w:val="24"/>
          <w:szCs w:val="24"/>
          <w:lang w:val="en-US" w:eastAsia="zh-CN"/>
        </w:rPr>
        <w:t>2</w:t>
      </w:r>
      <w:r>
        <w:rPr>
          <w:rFonts w:hint="eastAsia" w:ascii="宋体" w:hAnsi="宋体" w:eastAsia="宋体" w:cs="宋体"/>
          <w:sz w:val="24"/>
          <w:szCs w:val="24"/>
        </w:rPr>
        <w:t>秒，手机端响应时间</w:t>
      </w:r>
      <w:r>
        <w:rPr>
          <w:rFonts w:hint="eastAsia" w:ascii="宋体" w:hAnsi="宋体" w:eastAsia="宋体" w:cs="宋体"/>
          <w:sz w:val="24"/>
          <w:szCs w:val="24"/>
          <w:lang w:eastAsia="zh-CN"/>
        </w:rPr>
        <w:t>延时小于</w:t>
      </w:r>
      <w:r>
        <w:rPr>
          <w:rFonts w:hint="eastAsia" w:ascii="宋体" w:hAnsi="宋体" w:eastAsia="宋体" w:cs="宋体"/>
          <w:sz w:val="24"/>
          <w:szCs w:val="24"/>
          <w:lang w:val="en-US" w:eastAsia="zh-CN"/>
        </w:rPr>
        <w:t>2</w:t>
      </w:r>
      <w:r>
        <w:rPr>
          <w:rFonts w:hint="eastAsia" w:ascii="宋体" w:hAnsi="宋体" w:eastAsia="宋体" w:cs="宋体"/>
          <w:sz w:val="24"/>
          <w:szCs w:val="24"/>
        </w:rPr>
        <w:t>秒，系统运行无故障（无异常宕机）。</w:t>
      </w:r>
    </w:p>
    <w:p w14:paraId="7BF51ECC">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平台需具有良好的</w:t>
      </w:r>
      <w:r>
        <w:rPr>
          <w:rFonts w:hint="eastAsia" w:ascii="宋体" w:hAnsi="宋体" w:eastAsia="宋体" w:cs="宋体"/>
          <w:sz w:val="24"/>
          <w:szCs w:val="24"/>
          <w:lang w:eastAsia="zh-CN"/>
        </w:rPr>
        <w:t>可</w:t>
      </w:r>
      <w:r>
        <w:rPr>
          <w:rFonts w:hint="eastAsia" w:ascii="宋体" w:hAnsi="宋体" w:eastAsia="宋体" w:cs="宋体"/>
          <w:sz w:val="24"/>
          <w:szCs w:val="24"/>
        </w:rPr>
        <w:t>扩展性，</w:t>
      </w:r>
      <w:r>
        <w:rPr>
          <w:rFonts w:hint="eastAsia" w:ascii="宋体" w:hAnsi="宋体" w:eastAsia="宋体" w:cs="宋体"/>
          <w:sz w:val="24"/>
          <w:szCs w:val="24"/>
          <w:lang w:eastAsia="zh-CN"/>
        </w:rPr>
        <w:t>免费</w:t>
      </w:r>
      <w:r>
        <w:rPr>
          <w:rFonts w:hint="eastAsia" w:ascii="宋体" w:hAnsi="宋体" w:eastAsia="宋体" w:cs="宋体"/>
          <w:sz w:val="24"/>
          <w:szCs w:val="24"/>
        </w:rPr>
        <w:t>提供开放 API 接口，能方便的兼容与其他应用系统的对接，实现数据的高移植性。</w:t>
      </w:r>
    </w:p>
    <w:p w14:paraId="4203CD7D">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5、</w:t>
      </w:r>
      <w:r>
        <w:rPr>
          <w:rFonts w:hint="eastAsia" w:ascii="宋体" w:hAnsi="宋体" w:eastAsia="宋体" w:cs="宋体"/>
          <w:sz w:val="24"/>
          <w:szCs w:val="24"/>
        </w:rPr>
        <w:t>平台界面设计需具备良好的用户操作友好性，</w:t>
      </w:r>
      <w:r>
        <w:rPr>
          <w:rFonts w:hint="eastAsia" w:ascii="宋体" w:hAnsi="宋体" w:eastAsia="宋体" w:cs="宋体"/>
          <w:sz w:val="24"/>
          <w:szCs w:val="24"/>
          <w:lang w:eastAsia="zh-CN"/>
        </w:rPr>
        <w:t>能够兼容学校的数据标准，</w:t>
      </w:r>
      <w:r>
        <w:rPr>
          <w:rFonts w:hint="eastAsia" w:ascii="宋体" w:hAnsi="宋体" w:eastAsia="宋体" w:cs="宋体"/>
          <w:sz w:val="24"/>
          <w:szCs w:val="24"/>
        </w:rPr>
        <w:t>并且兼容所有的主流浏览器，IE9+、Chrome、Firefox、Safari、MS-Edge 以及各种加壳浏览器，如 QQ 浏览器、360 浏览器、微信内置浏览器等。移动端</w:t>
      </w:r>
      <w:r>
        <w:rPr>
          <w:rFonts w:hint="eastAsia" w:ascii="宋体" w:hAnsi="宋体" w:eastAsia="宋体" w:cs="宋体"/>
          <w:sz w:val="24"/>
          <w:szCs w:val="24"/>
          <w:lang w:eastAsia="zh-CN"/>
        </w:rPr>
        <w:t>能够</w:t>
      </w:r>
      <w:r>
        <w:rPr>
          <w:rFonts w:hint="eastAsia" w:ascii="宋体" w:hAnsi="宋体" w:eastAsia="宋体" w:cs="宋体"/>
          <w:sz w:val="24"/>
          <w:szCs w:val="24"/>
        </w:rPr>
        <w:t>支持IOS 12.0+、Android9.0+、Harmony OS2.0+等操作系统；页面需能够自适应移动设备，如手机、平板等。后台数据库支持MySQL 等主流数据库。为实现软件的跨平台部署及后期的系统维护,功能变更，要求软件用 java等主流计算机语言开发。所提供的软件平台需</w:t>
      </w:r>
      <w:r>
        <w:rPr>
          <w:rFonts w:hint="eastAsia" w:ascii="宋体" w:hAnsi="宋体" w:eastAsia="宋体" w:cs="宋体"/>
          <w:sz w:val="24"/>
          <w:szCs w:val="24"/>
          <w:lang w:eastAsia="zh-CN"/>
        </w:rPr>
        <w:t>能够</w:t>
      </w:r>
      <w:r>
        <w:rPr>
          <w:rFonts w:hint="eastAsia" w:ascii="宋体" w:hAnsi="宋体" w:eastAsia="宋体" w:cs="宋体"/>
          <w:sz w:val="24"/>
          <w:szCs w:val="24"/>
        </w:rPr>
        <w:t>支持 IPV6 网络协议。</w:t>
      </w:r>
    </w:p>
    <w:p w14:paraId="5963152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权限管理和验证</w:t>
      </w:r>
      <w:r>
        <w:rPr>
          <w:rFonts w:hint="eastAsia" w:ascii="宋体" w:hAnsi="宋体" w:eastAsia="宋体" w:cs="宋体"/>
          <w:sz w:val="24"/>
          <w:szCs w:val="24"/>
          <w:lang w:eastAsia="zh-CN"/>
        </w:rPr>
        <w:t>。</w:t>
      </w:r>
      <w:r>
        <w:rPr>
          <w:rFonts w:hint="eastAsia" w:ascii="宋体" w:hAnsi="宋体" w:eastAsia="宋体" w:cs="宋体"/>
          <w:sz w:val="24"/>
          <w:szCs w:val="24"/>
        </w:rPr>
        <w:t>支持系统管理员根据需要灵活的分配和管理用户的使用权限，保证系统和内容的安全；密码管理：</w:t>
      </w:r>
      <w:r>
        <w:rPr>
          <w:rFonts w:hint="eastAsia" w:ascii="宋体" w:hAnsi="宋体" w:eastAsia="宋体" w:cs="宋体"/>
          <w:sz w:val="24"/>
          <w:szCs w:val="24"/>
          <w:lang w:eastAsia="zh-CN"/>
        </w:rPr>
        <w:t>能够</w:t>
      </w:r>
      <w:r>
        <w:rPr>
          <w:rFonts w:hint="eastAsia" w:ascii="宋体" w:hAnsi="宋体" w:eastAsia="宋体" w:cs="宋体"/>
          <w:sz w:val="24"/>
          <w:szCs w:val="24"/>
        </w:rPr>
        <w:t>基于用户和角色的密码管理，为用户密码设置策略，防止弱密码安全隐患。系统管理员需设置相应的访问策略。</w:t>
      </w:r>
    </w:p>
    <w:p w14:paraId="69E8EC59">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7</w:t>
      </w:r>
      <w:r>
        <w:rPr>
          <w:rFonts w:hint="eastAsia" w:ascii="宋体" w:hAnsi="宋体" w:eastAsia="宋体" w:cs="宋体"/>
          <w:sz w:val="24"/>
          <w:szCs w:val="24"/>
          <w:lang w:eastAsia="zh-CN"/>
        </w:rPr>
        <w:t>、</w:t>
      </w:r>
      <w:r>
        <w:rPr>
          <w:rFonts w:hint="eastAsia" w:ascii="宋体" w:hAnsi="宋体" w:eastAsia="宋体" w:cs="宋体"/>
          <w:sz w:val="24"/>
          <w:szCs w:val="24"/>
        </w:rPr>
        <w:t>系统安全性</w:t>
      </w:r>
      <w:r>
        <w:rPr>
          <w:rFonts w:hint="eastAsia" w:ascii="宋体" w:hAnsi="宋体" w:eastAsia="宋体" w:cs="宋体"/>
          <w:sz w:val="24"/>
          <w:szCs w:val="24"/>
          <w:lang w:eastAsia="zh-CN"/>
        </w:rPr>
        <w:t>。</w:t>
      </w:r>
      <w:r>
        <w:rPr>
          <w:rFonts w:hint="eastAsia" w:ascii="宋体" w:hAnsi="宋体" w:eastAsia="宋体" w:cs="宋体"/>
          <w:sz w:val="24"/>
          <w:szCs w:val="24"/>
        </w:rPr>
        <w:t>为确保信息系统合法上线，该平台上线前必须提供第三方安全检测报告，通过漏洞扫描等安全防护测试，并能通过国家等级保护二级认证</w:t>
      </w:r>
      <w:r>
        <w:rPr>
          <w:rFonts w:hint="eastAsia" w:ascii="宋体" w:hAnsi="宋体" w:eastAsia="宋体" w:cs="宋体"/>
          <w:sz w:val="24"/>
          <w:szCs w:val="24"/>
          <w:lang w:eastAsia="zh-CN"/>
        </w:rPr>
        <w:t>，</w:t>
      </w:r>
      <w:r>
        <w:rPr>
          <w:rFonts w:hint="eastAsia" w:ascii="宋体" w:hAnsi="宋体" w:eastAsia="宋体" w:cs="宋体"/>
          <w:sz w:val="24"/>
          <w:szCs w:val="24"/>
        </w:rPr>
        <w:t>认证费用由供应商承担。为确保数据的安全，系统需遵循学校统一的数据备份要求，配合</w:t>
      </w:r>
      <w:r>
        <w:rPr>
          <w:rFonts w:hint="eastAsia" w:ascii="宋体" w:hAnsi="宋体" w:eastAsia="宋体" w:cs="宋体"/>
          <w:sz w:val="24"/>
          <w:szCs w:val="24"/>
          <w:lang w:eastAsia="zh-CN"/>
        </w:rPr>
        <w:t>学校</w:t>
      </w:r>
      <w:r>
        <w:rPr>
          <w:rFonts w:hint="eastAsia" w:ascii="宋体" w:hAnsi="宋体" w:eastAsia="宋体" w:cs="宋体"/>
          <w:sz w:val="24"/>
          <w:szCs w:val="24"/>
        </w:rPr>
        <w:t>信息中心，做好本地和异地备份</w:t>
      </w:r>
      <w:r>
        <w:rPr>
          <w:rFonts w:hint="eastAsia" w:ascii="宋体" w:hAnsi="宋体" w:eastAsia="宋体" w:cs="宋体"/>
          <w:sz w:val="24"/>
          <w:szCs w:val="24"/>
          <w:lang w:eastAsia="zh-CN"/>
        </w:rPr>
        <w:t>，</w:t>
      </w:r>
      <w:r>
        <w:rPr>
          <w:rFonts w:hint="eastAsia" w:ascii="宋体" w:hAnsi="宋体" w:eastAsia="宋体" w:cs="宋体"/>
          <w:sz w:val="24"/>
          <w:szCs w:val="24"/>
        </w:rPr>
        <w:t>按照学校整体网络信息安全要求，提供网络信息安全建设方案，做好网络信息安全建设及管理，并积极配合学校进行安全检查及整改。</w:t>
      </w:r>
    </w:p>
    <w:p w14:paraId="11B5D57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lang w:eastAsia="zh-CN"/>
        </w:rPr>
        <w:t>、</w:t>
      </w:r>
      <w:r>
        <w:rPr>
          <w:rFonts w:hint="eastAsia" w:ascii="宋体" w:hAnsi="宋体" w:eastAsia="宋体" w:cs="宋体"/>
          <w:sz w:val="24"/>
          <w:szCs w:val="24"/>
        </w:rPr>
        <w:t>系统集成</w:t>
      </w:r>
      <w:r>
        <w:rPr>
          <w:rFonts w:hint="eastAsia" w:ascii="宋体" w:hAnsi="宋体" w:eastAsia="宋体" w:cs="宋体"/>
          <w:sz w:val="24"/>
          <w:szCs w:val="24"/>
          <w:lang w:eastAsia="zh-CN"/>
        </w:rPr>
        <w:t>。</w:t>
      </w:r>
      <w:r>
        <w:rPr>
          <w:rFonts w:hint="eastAsia" w:ascii="宋体" w:hAnsi="宋体" w:eastAsia="宋体" w:cs="宋体"/>
          <w:sz w:val="24"/>
          <w:szCs w:val="24"/>
        </w:rPr>
        <w:t>供应商根据校方提供的统一身份认证的对接规范，无条件地完成统一身份认证集成，实现用户从门户单点进入并登录系统，获取投标系统中该用户的完整权限。</w:t>
      </w:r>
      <w:r>
        <w:rPr>
          <w:rFonts w:hint="eastAsia" w:ascii="宋体" w:hAnsi="宋体" w:eastAsia="宋体" w:cs="宋体"/>
          <w:sz w:val="24"/>
          <w:szCs w:val="24"/>
          <w:lang w:eastAsia="zh-CN"/>
        </w:rPr>
        <w:t>能够</w:t>
      </w:r>
      <w:r>
        <w:rPr>
          <w:rFonts w:hint="eastAsia" w:ascii="宋体" w:hAnsi="宋体" w:eastAsia="宋体" w:cs="宋体"/>
          <w:sz w:val="24"/>
          <w:szCs w:val="24"/>
        </w:rPr>
        <w:t>和学校门禁对接，实现校友预约进校；</w:t>
      </w:r>
      <w:r>
        <w:rPr>
          <w:rFonts w:hint="eastAsia" w:ascii="宋体" w:hAnsi="宋体" w:eastAsia="宋体" w:cs="宋体"/>
          <w:sz w:val="24"/>
          <w:szCs w:val="24"/>
          <w:lang w:eastAsia="zh-CN"/>
        </w:rPr>
        <w:t>能够</w:t>
      </w:r>
      <w:r>
        <w:rPr>
          <w:rFonts w:hint="eastAsia" w:ascii="宋体" w:hAnsi="宋体" w:eastAsia="宋体" w:cs="宋体"/>
          <w:sz w:val="24"/>
          <w:szCs w:val="24"/>
        </w:rPr>
        <w:t>和学校图书馆对接，实现校友进出图书馆及浏览图书。</w:t>
      </w:r>
    </w:p>
    <w:p w14:paraId="150AABC7">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ascii="宋体" w:hAnsi="宋体" w:eastAsia="宋体" w:cs="宋体"/>
          <w:sz w:val="24"/>
          <w:szCs w:val="24"/>
          <w:lang w:eastAsia="zh-CN"/>
        </w:rPr>
        <w:t>、</w:t>
      </w:r>
      <w:r>
        <w:rPr>
          <w:rFonts w:hint="eastAsia" w:ascii="宋体" w:hAnsi="宋体" w:eastAsia="宋体" w:cs="宋体"/>
          <w:sz w:val="24"/>
          <w:szCs w:val="24"/>
        </w:rPr>
        <w:t>数据</w:t>
      </w:r>
      <w:r>
        <w:rPr>
          <w:rFonts w:hint="eastAsia" w:ascii="宋体" w:hAnsi="宋体" w:eastAsia="宋体" w:cs="宋体"/>
          <w:sz w:val="24"/>
          <w:szCs w:val="24"/>
          <w:lang w:eastAsia="zh-CN"/>
        </w:rPr>
        <w:t>集成。</w:t>
      </w:r>
      <w:r>
        <w:rPr>
          <w:rFonts w:hint="eastAsia" w:ascii="宋体" w:hAnsi="宋体" w:eastAsia="宋体" w:cs="宋体"/>
          <w:sz w:val="24"/>
          <w:szCs w:val="24"/>
        </w:rPr>
        <w:t>供应商根据校方指定的方式（API、表或中间库等）、格式（CSV、DAT、DBF、MDB或ODB++等）等要求，完成将系统的所有数据同步至学校指定的数据中心；供应商必须根据校方要求开放</w:t>
      </w:r>
      <w:r>
        <w:rPr>
          <w:rFonts w:hint="eastAsia" w:ascii="宋体" w:hAnsi="宋体" w:eastAsia="宋体" w:cs="宋体"/>
          <w:sz w:val="24"/>
          <w:szCs w:val="24"/>
          <w:lang w:eastAsia="zh-CN"/>
        </w:rPr>
        <w:t>平台</w:t>
      </w:r>
      <w:r>
        <w:rPr>
          <w:rFonts w:hint="eastAsia" w:ascii="宋体" w:hAnsi="宋体" w:eastAsia="宋体" w:cs="宋体"/>
          <w:sz w:val="24"/>
          <w:szCs w:val="24"/>
        </w:rPr>
        <w:t>的数据库所有权限，提供投</w:t>
      </w:r>
      <w:r>
        <w:rPr>
          <w:rFonts w:hint="eastAsia" w:ascii="宋体" w:hAnsi="宋体" w:eastAsia="宋体" w:cs="宋体"/>
          <w:sz w:val="24"/>
          <w:szCs w:val="24"/>
          <w:lang w:eastAsia="zh-CN"/>
        </w:rPr>
        <w:t>平台系</w:t>
      </w:r>
      <w:r>
        <w:rPr>
          <w:rFonts w:hint="eastAsia" w:ascii="宋体" w:hAnsi="宋体" w:eastAsia="宋体" w:cs="宋体"/>
          <w:sz w:val="24"/>
          <w:szCs w:val="24"/>
        </w:rPr>
        <w:t>统的数据库地址、端口号、数据库类型、管理帐号及密码等信息，并提供完整的数据字典及投标业务系统技术人员联系方式；提供的数据不能加密。系统需要使用的用户基本信息等其他共享数据，必须从学校数据中心同步；</w:t>
      </w:r>
      <w:r>
        <w:rPr>
          <w:rFonts w:hint="eastAsia" w:ascii="宋体" w:hAnsi="宋体" w:eastAsia="宋体" w:cs="宋体"/>
          <w:sz w:val="24"/>
          <w:szCs w:val="24"/>
          <w:lang w:eastAsia="zh-CN"/>
        </w:rPr>
        <w:t>供应商</w:t>
      </w:r>
      <w:r>
        <w:rPr>
          <w:rFonts w:hint="eastAsia" w:ascii="宋体" w:hAnsi="宋体" w:eastAsia="宋体" w:cs="宋体"/>
          <w:sz w:val="24"/>
          <w:szCs w:val="24"/>
        </w:rPr>
        <w:t>提出数据需求，根据学校提供数据的接入方式，完成将来自数据中心的共享数据接入至投标系统。系统建设要符合学校数据标准和接口标准，可以与学校数据中心对接，实现基础数据的共享及毕业生数据的及时推送。</w:t>
      </w:r>
    </w:p>
    <w:p w14:paraId="1E7DAC4E">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10</w:t>
      </w:r>
      <w:r>
        <w:rPr>
          <w:rFonts w:hint="eastAsia" w:ascii="宋体" w:hAnsi="宋体" w:eastAsia="宋体" w:cs="宋体"/>
          <w:sz w:val="24"/>
          <w:szCs w:val="24"/>
          <w:lang w:eastAsia="zh-CN"/>
        </w:rPr>
        <w:t>、功能碎片化集成。</w:t>
      </w:r>
      <w:r>
        <w:rPr>
          <w:rFonts w:hint="eastAsia" w:ascii="宋体" w:hAnsi="宋体" w:eastAsia="宋体" w:cs="宋体"/>
          <w:sz w:val="24"/>
          <w:szCs w:val="24"/>
        </w:rPr>
        <w:t>根据学校实际要求及投标系统中具体功能特点，投标系统供应商负责完成投标系统中部分功能、流程、应用等，以卡片、图标链接等形式，通过碎片化的方式集成于学校门户的PC端和移动端中，用户点击即可精准跳转并直接使用此部分功能、流程、应用等。其他未完全列出的对接要求，在项目实施过程中由校方根据需求另行指定</w:t>
      </w:r>
      <w:r>
        <w:rPr>
          <w:rFonts w:hint="eastAsia" w:ascii="宋体" w:hAnsi="宋体" w:eastAsia="宋体" w:cs="宋体"/>
          <w:sz w:val="24"/>
          <w:szCs w:val="24"/>
          <w:lang w:eastAsia="zh-CN"/>
        </w:rPr>
        <w:t>，</w:t>
      </w:r>
      <w:r>
        <w:rPr>
          <w:rFonts w:hint="eastAsia" w:ascii="宋体" w:hAnsi="宋体" w:eastAsia="宋体" w:cs="宋体"/>
          <w:sz w:val="24"/>
          <w:szCs w:val="24"/>
        </w:rPr>
        <w:t>供应商必须无条件服从。所有对接操作均由供应商根据学校的要求操作完成，并负责保障对接部分的稳定运行及后期的维护。</w:t>
      </w:r>
    </w:p>
    <w:p w14:paraId="6376642B">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11</w:t>
      </w: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消息集成。</w:t>
      </w:r>
      <w:r>
        <w:rPr>
          <w:rFonts w:hint="eastAsia" w:ascii="宋体" w:hAnsi="宋体" w:eastAsia="宋体" w:cs="宋体"/>
          <w:sz w:val="24"/>
          <w:szCs w:val="24"/>
        </w:rPr>
        <w:t>供应商根据校方的要求完成</w:t>
      </w:r>
      <w:r>
        <w:rPr>
          <w:rFonts w:hint="eastAsia" w:ascii="宋体" w:hAnsi="宋体" w:eastAsia="宋体" w:cs="宋体"/>
          <w:sz w:val="24"/>
          <w:szCs w:val="24"/>
          <w:lang w:eastAsia="zh-CN"/>
        </w:rPr>
        <w:t>平台</w:t>
      </w:r>
      <w:r>
        <w:rPr>
          <w:rFonts w:hint="eastAsia" w:ascii="宋体" w:hAnsi="宋体" w:eastAsia="宋体" w:cs="宋体"/>
          <w:sz w:val="24"/>
          <w:szCs w:val="24"/>
        </w:rPr>
        <w:t>系统中产生的通知、消息等同步至门户中，用户在门户可以实时接收到所</w:t>
      </w:r>
      <w:r>
        <w:rPr>
          <w:rFonts w:hint="eastAsia" w:ascii="宋体" w:hAnsi="宋体" w:eastAsia="宋体" w:cs="宋体"/>
          <w:sz w:val="24"/>
          <w:szCs w:val="24"/>
          <w:lang w:eastAsia="zh-CN"/>
        </w:rPr>
        <w:t>平台</w:t>
      </w:r>
      <w:r>
        <w:rPr>
          <w:rFonts w:hint="eastAsia" w:ascii="宋体" w:hAnsi="宋体" w:eastAsia="宋体" w:cs="宋体"/>
          <w:sz w:val="24"/>
          <w:szCs w:val="24"/>
        </w:rPr>
        <w:t>系统产生的通知、消息等，用户点击通知、消息等可直接进入所投业务系统进行消息的处理；如有日程相关应用，以同样的方式集成至门户中。</w:t>
      </w:r>
    </w:p>
    <w:p w14:paraId="47E35C3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本项目的所有建设内容，应按照采购人需求，与采购人已建设的综合服务门户（掌上蔚园）等系统进行融合对接；未来如学校综合服务门户等系统升级，也应进行对接；本项目所有建设内容在涉及系统对接、提供开放接口的所有工作时，涉及费用均包含在本次报价内。</w:t>
      </w:r>
    </w:p>
    <w:p w14:paraId="48CB9D8D">
      <w:pPr>
        <w:keepNext w:val="0"/>
        <w:keepLines w:val="0"/>
        <w:pageBreakBefore w:val="0"/>
        <w:widowControl/>
        <w:kinsoku/>
        <w:wordWrap/>
        <w:overflowPunct/>
        <w:topLinePunct w:val="0"/>
        <w:autoSpaceDE/>
        <w:autoSpaceDN/>
        <w:bidi w:val="0"/>
        <w:adjustRightInd/>
        <w:snapToGrid/>
        <w:spacing w:line="360" w:lineRule="auto"/>
        <w:ind w:firstLine="562"/>
        <w:textAlignment w:val="auto"/>
        <w:outlineLvl w:val="0"/>
        <w:rPr>
          <w:rFonts w:hint="eastAsia" w:ascii="宋体" w:hAnsi="宋体" w:eastAsia="宋体" w:cs="宋体"/>
          <w:i w:val="0"/>
          <w:iCs w:val="0"/>
          <w:caps w:val="0"/>
          <w:color w:val="333333"/>
          <w:spacing w:val="0"/>
          <w:kern w:val="0"/>
          <w:sz w:val="24"/>
          <w:szCs w:val="24"/>
          <w:lang w:val="en-US" w:eastAsia="zh-CN" w:bidi="ar"/>
        </w:rPr>
      </w:pPr>
      <w:r>
        <w:rPr>
          <w:rFonts w:hint="eastAsia" w:ascii="宋体" w:hAnsi="宋体" w:eastAsia="宋体" w:cs="宋体"/>
          <w:b/>
          <w:i w:val="0"/>
          <w:iCs w:val="0"/>
          <w:caps w:val="0"/>
          <w:color w:val="333333"/>
          <w:spacing w:val="0"/>
          <w:kern w:val="0"/>
          <w:sz w:val="24"/>
          <w:szCs w:val="24"/>
          <w:lang w:val="en-US" w:eastAsia="zh-CN" w:bidi="ar"/>
        </w:rPr>
        <w:t>六、服务质量标准</w:t>
      </w:r>
    </w:p>
    <w:p w14:paraId="3EF46086">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eastAsia="zh-Hans"/>
        </w:rPr>
      </w:pP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免费质保期 3 年</w:t>
      </w:r>
      <w:r>
        <w:rPr>
          <w:rFonts w:hint="eastAsia" w:ascii="宋体" w:hAnsi="宋体" w:eastAsia="宋体" w:cs="宋体"/>
          <w:sz w:val="24"/>
          <w:szCs w:val="24"/>
          <w:lang w:eastAsia="zh-Hans"/>
        </w:rPr>
        <w:t>，质保期内免费提供软件升级，功能完善、性能提升和故障排除等售后服务。</w:t>
      </w:r>
    </w:p>
    <w:p w14:paraId="610193D4">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lang w:val="en-US" w:eastAsia="zh-CN"/>
        </w:rPr>
        <w:t>2、</w:t>
      </w:r>
      <w:r>
        <w:rPr>
          <w:rFonts w:hint="eastAsia" w:ascii="宋体" w:hAnsi="宋体" w:eastAsia="宋体" w:cs="宋体"/>
          <w:sz w:val="24"/>
          <w:szCs w:val="24"/>
        </w:rPr>
        <w:t>服务响应时间要求：要求提供7*24小时服务响应。对于系统在使用过程中出现的问题，在2小时内响应，如遇与所供系统有关的问题无法远程解决的，一般性故障解决问题时间不超过8小时，重大故障8小时内给出解决方案并提供临时应急处置措施，重大故障解决问题时间不超过24小时。</w:t>
      </w:r>
    </w:p>
    <w:p w14:paraId="0171153F">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outlineLvl w:val="1"/>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系统交付及培训</w:t>
      </w:r>
    </w:p>
    <w:p w14:paraId="602B687A">
      <w:pPr>
        <w:keepNext w:val="0"/>
        <w:keepLines w:val="0"/>
        <w:pageBreakBefore w:val="0"/>
        <w:widowControl/>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用户培训：为了使系统使用人员掌握系统的使用、维护和管理，达到能独立进行管理、故障处理、日常测试和维护等工作目的，应进行系统的技术培训，以保障系统能够正常、安全、平稳地运行。 </w:t>
      </w:r>
    </w:p>
    <w:p w14:paraId="37A95FE6">
      <w:pPr>
        <w:pStyle w:val="53"/>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rPr>
        <w:t>培训方式：采用现场培训、网上培训等相结合的方式，针对不同层次的人员，也可以边实施边培训，确保每个角色用户对系统的顺利应用。</w:t>
      </w:r>
    </w:p>
    <w:p w14:paraId="7A85657E">
      <w:pPr>
        <w:keepNext w:val="0"/>
        <w:keepLines w:val="0"/>
        <w:pageBreakBefore w:val="0"/>
        <w:widowControl w:val="0"/>
        <w:kinsoku/>
        <w:wordWrap/>
        <w:overflowPunct/>
        <w:topLinePunct w:val="0"/>
        <w:bidi w:val="0"/>
        <w:adjustRightInd/>
        <w:snapToGrid/>
        <w:spacing w:line="360" w:lineRule="auto"/>
        <w:ind w:firstLine="482" w:firstLineChars="200"/>
        <w:textAlignment w:val="auto"/>
        <w:rPr>
          <w:rFonts w:hint="default" w:ascii="宋体" w:hAnsi="宋体" w:eastAsia="宋体" w:cs="宋体"/>
          <w:b/>
          <w:bCs/>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七、报价要求</w:t>
      </w:r>
    </w:p>
    <w:p w14:paraId="33FF7C68">
      <w:pPr>
        <w:spacing w:line="360" w:lineRule="auto"/>
        <w:ind w:firstLine="437"/>
        <w:outlineLvl w:val="1"/>
        <w:rPr>
          <w:rFonts w:ascii="宋体" w:hAnsi="宋体" w:eastAsia="宋体"/>
          <w:b/>
          <w:sz w:val="24"/>
          <w:szCs w:val="18"/>
        </w:rPr>
      </w:pPr>
      <w:r>
        <w:rPr>
          <w:rFonts w:hint="eastAsia" w:ascii="宋体" w:hAnsi="宋体" w:eastAsia="宋体" w:cs="宋体"/>
          <w:color w:val="auto"/>
          <w:sz w:val="24"/>
          <w:szCs w:val="24"/>
        </w:rPr>
        <w:t>本项目采用总价包干方式，报价即完成本项目</w:t>
      </w:r>
      <w:r>
        <w:rPr>
          <w:rFonts w:hint="eastAsia" w:ascii="宋体" w:hAnsi="宋体" w:eastAsia="宋体" w:cs="宋体"/>
          <w:color w:val="auto"/>
          <w:sz w:val="24"/>
          <w:szCs w:val="24"/>
          <w:lang w:val="en-US" w:eastAsia="zh-CN"/>
        </w:rPr>
        <w:t>服务</w:t>
      </w:r>
      <w:r>
        <w:rPr>
          <w:rFonts w:hint="eastAsia" w:ascii="宋体" w:hAnsi="宋体" w:eastAsia="宋体" w:cs="宋体"/>
          <w:color w:val="auto"/>
          <w:sz w:val="24"/>
          <w:szCs w:val="24"/>
        </w:rPr>
        <w:t>全部内容的所有费用</w:t>
      </w:r>
      <w:r>
        <w:rPr>
          <w:rFonts w:hint="eastAsia" w:ascii="宋体" w:hAnsi="宋体" w:eastAsia="宋体" w:cs="宋体"/>
          <w:b/>
          <w:bCs/>
          <w:color w:val="auto"/>
          <w:sz w:val="24"/>
          <w:szCs w:val="24"/>
          <w:lang w:val="en-US" w:eastAsia="zh-CN"/>
        </w:rPr>
        <w:t>。</w:t>
      </w:r>
      <w:r>
        <w:rPr>
          <w:rFonts w:hint="eastAsia" w:ascii="宋体" w:hAnsi="宋体" w:eastAsia="宋体" w:cs="宋体"/>
          <w:color w:val="auto"/>
          <w:sz w:val="24"/>
          <w:szCs w:val="24"/>
        </w:rPr>
        <w:t>请供应商自行勘察现场核算成本，综合考虑后谨慎报价，采购人后期不再追加任何费用。</w:t>
      </w:r>
    </w:p>
    <w:p w14:paraId="0234D2DA">
      <w:pPr>
        <w:spacing w:line="360" w:lineRule="auto"/>
        <w:ind w:firstLine="437"/>
        <w:rPr>
          <w:rFonts w:ascii="宋体" w:hAnsi="宋体" w:eastAsia="宋体"/>
          <w:b/>
          <w:sz w:val="24"/>
          <w:szCs w:val="18"/>
        </w:rPr>
      </w:pPr>
    </w:p>
    <w:bookmarkEnd w:id="16"/>
    <w:p w14:paraId="5D2268A4">
      <w:pPr>
        <w:rPr>
          <w:rFonts w:hint="eastAsia" w:asciiTheme="minorEastAsia" w:hAnsiTheme="minorEastAsia" w:eastAsiaTheme="minorEastAsia"/>
          <w:b/>
          <w:sz w:val="28"/>
        </w:rPr>
      </w:pPr>
      <w:r>
        <w:rPr>
          <w:rFonts w:hint="eastAsia" w:asciiTheme="minorEastAsia" w:hAnsiTheme="minorEastAsia" w:eastAsiaTheme="minorEastAsia"/>
          <w:b/>
          <w:sz w:val="28"/>
        </w:rPr>
        <w:br w:type="page"/>
      </w:r>
    </w:p>
    <w:p w14:paraId="13EB378F">
      <w:pPr>
        <w:spacing w:line="360" w:lineRule="auto"/>
        <w:jc w:val="center"/>
        <w:outlineLvl w:val="0"/>
        <w:rPr>
          <w:rFonts w:asciiTheme="minorEastAsia" w:hAnsiTheme="minorEastAsia" w:eastAsiaTheme="minorEastAsia"/>
          <w:b/>
          <w:sz w:val="28"/>
        </w:rPr>
      </w:pPr>
      <w:bookmarkStart w:id="22" w:name="_Toc8381"/>
      <w:r>
        <w:rPr>
          <w:rFonts w:hint="eastAsia" w:asciiTheme="minorEastAsia" w:hAnsiTheme="minorEastAsia" w:eastAsiaTheme="minorEastAsia"/>
          <w:b/>
          <w:sz w:val="28"/>
        </w:rPr>
        <w:t>第四章  评审方法和标准</w:t>
      </w:r>
      <w:bookmarkEnd w:id="22"/>
    </w:p>
    <w:p w14:paraId="13D7B925">
      <w:pPr>
        <w:spacing w:line="360" w:lineRule="auto"/>
        <w:ind w:firstLine="437"/>
        <w:outlineLvl w:val="1"/>
        <w:rPr>
          <w:rFonts w:asciiTheme="minorEastAsia" w:hAnsiTheme="minorEastAsia" w:eastAsiaTheme="minorEastAsia"/>
          <w:b/>
          <w:sz w:val="24"/>
        </w:rPr>
      </w:pPr>
      <w:bookmarkStart w:id="23" w:name="_Toc22887"/>
      <w:r>
        <w:rPr>
          <w:rFonts w:hint="eastAsia" w:asciiTheme="minorEastAsia" w:hAnsiTheme="minorEastAsia" w:eastAsiaTheme="minorEastAsia"/>
          <w:b/>
          <w:sz w:val="24"/>
        </w:rPr>
        <w:t>一、总则</w:t>
      </w:r>
      <w:bookmarkEnd w:id="23"/>
    </w:p>
    <w:p w14:paraId="65D91D56">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本项目将按照磋商文件第二章 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1B07B3B5">
      <w:pPr>
        <w:spacing w:line="360" w:lineRule="auto"/>
        <w:ind w:firstLine="437"/>
        <w:outlineLvl w:val="1"/>
        <w:rPr>
          <w:rFonts w:asciiTheme="minorEastAsia" w:hAnsiTheme="minorEastAsia" w:eastAsiaTheme="minorEastAsia"/>
          <w:b/>
          <w:sz w:val="24"/>
        </w:rPr>
      </w:pPr>
      <w:bookmarkStart w:id="24" w:name="_Toc28453"/>
      <w:r>
        <w:rPr>
          <w:rFonts w:hint="eastAsia" w:asciiTheme="minorEastAsia" w:hAnsiTheme="minorEastAsia" w:eastAsiaTheme="minorEastAsia"/>
          <w:b/>
          <w:sz w:val="24"/>
        </w:rPr>
        <w:t>二、评审方法</w:t>
      </w:r>
      <w:bookmarkEnd w:id="24"/>
    </w:p>
    <w:p w14:paraId="7C94DE5D">
      <w:pPr>
        <w:spacing w:line="360" w:lineRule="auto"/>
        <w:ind w:firstLine="435"/>
        <w:outlineLvl w:val="2"/>
        <w:rPr>
          <w:rFonts w:asciiTheme="minorEastAsia" w:hAnsiTheme="minorEastAsia" w:eastAsiaTheme="minorEastAsia"/>
          <w:sz w:val="24"/>
        </w:rPr>
      </w:pPr>
      <w:r>
        <w:rPr>
          <w:rFonts w:hint="eastAsia" w:asciiTheme="minorEastAsia" w:hAnsiTheme="minorEastAsia" w:eastAsiaTheme="minorEastAsia"/>
          <w:sz w:val="24"/>
        </w:rPr>
        <w:t>2.1初审</w:t>
      </w:r>
    </w:p>
    <w:p w14:paraId="0FF3E45C">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磋商小组对供应商的响应文件进行初审，以确定其是否满足磋商文件的实质性要求。初审表如下：</w:t>
      </w:r>
    </w:p>
    <w:tbl>
      <w:tblPr>
        <w:tblStyle w:val="20"/>
        <w:tblW w:w="107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7"/>
        <w:gridCol w:w="1759"/>
        <w:gridCol w:w="3627"/>
        <w:gridCol w:w="4699"/>
      </w:tblGrid>
      <w:tr w14:paraId="4E1EBA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10762" w:type="dxa"/>
            <w:gridSpan w:val="4"/>
            <w:tcBorders>
              <w:bottom w:val="single" w:color="auto" w:sz="4" w:space="0"/>
            </w:tcBorders>
            <w:vAlign w:val="center"/>
          </w:tcPr>
          <w:p w14:paraId="060C40C1">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14:paraId="74488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bottom w:val="single" w:color="auto" w:sz="4" w:space="0"/>
            </w:tcBorders>
            <w:vAlign w:val="center"/>
          </w:tcPr>
          <w:p w14:paraId="12BDA3B9">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1759" w:type="dxa"/>
            <w:tcBorders>
              <w:bottom w:val="single" w:color="auto" w:sz="4" w:space="0"/>
            </w:tcBorders>
            <w:vAlign w:val="center"/>
          </w:tcPr>
          <w:p w14:paraId="33F12A53">
            <w:pPr>
              <w:pStyle w:val="29"/>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评审指标</w:t>
            </w:r>
          </w:p>
        </w:tc>
        <w:tc>
          <w:tcPr>
            <w:tcW w:w="3627" w:type="dxa"/>
            <w:tcBorders>
              <w:bottom w:val="single" w:color="auto" w:sz="4" w:space="0"/>
            </w:tcBorders>
            <w:vAlign w:val="center"/>
          </w:tcPr>
          <w:p w14:paraId="1662F8A5">
            <w:pPr>
              <w:adjustRightInd w:val="0"/>
              <w:snapToGrid w:val="0"/>
              <w:spacing w:line="360" w:lineRule="auto"/>
              <w:ind w:right="-10"/>
              <w:jc w:val="center"/>
              <w:rPr>
                <w:rFonts w:ascii="宋体" w:hAnsi="宋体" w:eastAsia="宋体"/>
                <w:sz w:val="24"/>
              </w:rPr>
            </w:pPr>
            <w:r>
              <w:rPr>
                <w:rFonts w:hint="eastAsia" w:ascii="宋体" w:hAnsi="宋体" w:eastAsia="宋体"/>
                <w:sz w:val="24"/>
              </w:rPr>
              <w:t>评审标准</w:t>
            </w:r>
          </w:p>
        </w:tc>
        <w:tc>
          <w:tcPr>
            <w:tcW w:w="4699" w:type="dxa"/>
            <w:tcBorders>
              <w:bottom w:val="single" w:color="auto" w:sz="4" w:space="0"/>
            </w:tcBorders>
            <w:vAlign w:val="center"/>
          </w:tcPr>
          <w:p w14:paraId="74CF2A86">
            <w:pPr>
              <w:adjustRightInd w:val="0"/>
              <w:snapToGrid w:val="0"/>
              <w:spacing w:line="360" w:lineRule="auto"/>
              <w:ind w:right="-10"/>
              <w:jc w:val="center"/>
              <w:rPr>
                <w:rFonts w:ascii="宋体" w:hAnsi="宋体" w:eastAsia="宋体"/>
                <w:sz w:val="24"/>
              </w:rPr>
            </w:pPr>
            <w:r>
              <w:rPr>
                <w:rFonts w:hint="eastAsia" w:ascii="宋体" w:hAnsi="宋体" w:eastAsia="宋体"/>
                <w:sz w:val="24"/>
              </w:rPr>
              <w:t>格式及材料要求</w:t>
            </w:r>
          </w:p>
        </w:tc>
      </w:tr>
      <w:tr w14:paraId="5D8AE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677" w:type="dxa"/>
            <w:tcBorders>
              <w:bottom w:val="single" w:color="auto" w:sz="4" w:space="0"/>
            </w:tcBorders>
            <w:vAlign w:val="center"/>
          </w:tcPr>
          <w:p w14:paraId="446D37D3">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1759" w:type="dxa"/>
            <w:tcBorders>
              <w:bottom w:val="single" w:color="auto" w:sz="4" w:space="0"/>
            </w:tcBorders>
            <w:vAlign w:val="center"/>
          </w:tcPr>
          <w:p w14:paraId="7660AA93">
            <w:pPr>
              <w:spacing w:after="50" w:line="360" w:lineRule="auto"/>
              <w:ind w:right="-10"/>
              <w:jc w:val="center"/>
              <w:rPr>
                <w:rFonts w:ascii="宋体" w:hAnsi="宋体" w:eastAsia="宋体"/>
                <w:sz w:val="24"/>
                <w:szCs w:val="28"/>
              </w:rPr>
            </w:pPr>
            <w:r>
              <w:rPr>
                <w:rFonts w:hint="eastAsia" w:ascii="宋体" w:hAnsi="宋体" w:eastAsia="宋体"/>
                <w:sz w:val="24"/>
                <w:szCs w:val="28"/>
              </w:rPr>
              <w:t>营业执照</w:t>
            </w:r>
          </w:p>
        </w:tc>
        <w:tc>
          <w:tcPr>
            <w:tcW w:w="3627" w:type="dxa"/>
            <w:tcBorders>
              <w:bottom w:val="single" w:color="auto" w:sz="4" w:space="0"/>
            </w:tcBorders>
            <w:vAlign w:val="center"/>
          </w:tcPr>
          <w:p w14:paraId="581CB70B">
            <w:pPr>
              <w:spacing w:after="50" w:line="360" w:lineRule="auto"/>
              <w:ind w:right="-10"/>
              <w:jc w:val="center"/>
              <w:rPr>
                <w:rFonts w:ascii="宋体" w:hAnsi="宋体" w:eastAsia="宋体"/>
                <w:sz w:val="24"/>
                <w:szCs w:val="28"/>
              </w:rPr>
            </w:pPr>
            <w:r>
              <w:rPr>
                <w:rFonts w:hint="eastAsia" w:ascii="宋体" w:hAnsi="宋体" w:eastAsia="宋体"/>
                <w:sz w:val="24"/>
                <w:szCs w:val="28"/>
              </w:rPr>
              <w:t>合法有效</w:t>
            </w:r>
          </w:p>
        </w:tc>
        <w:tc>
          <w:tcPr>
            <w:tcW w:w="4699" w:type="dxa"/>
            <w:vAlign w:val="center"/>
          </w:tcPr>
          <w:p w14:paraId="6188E385">
            <w:pPr>
              <w:spacing w:line="360" w:lineRule="auto"/>
              <w:jc w:val="left"/>
              <w:rPr>
                <w:rFonts w:ascii="宋体" w:hAnsi="宋体" w:eastAsia="宋体"/>
                <w:sz w:val="24"/>
              </w:rPr>
            </w:pPr>
            <w:r>
              <w:rPr>
                <w:rFonts w:hint="eastAsia" w:ascii="宋体" w:hAnsi="宋体" w:eastAsia="宋体"/>
                <w:sz w:val="24"/>
              </w:rPr>
              <w:t>提供有效的供应商营业执照（或事业单位法人登记证书）扫描件，应完整的体现出营业执照（或事业单位法人登记证书）的全部内容。</w:t>
            </w:r>
          </w:p>
        </w:tc>
      </w:tr>
      <w:tr w14:paraId="092D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bottom w:val="single" w:color="auto" w:sz="4" w:space="0"/>
            </w:tcBorders>
            <w:vAlign w:val="center"/>
          </w:tcPr>
          <w:p w14:paraId="21AF74D8">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2</w:t>
            </w:r>
          </w:p>
        </w:tc>
        <w:tc>
          <w:tcPr>
            <w:tcW w:w="1759" w:type="dxa"/>
            <w:tcBorders>
              <w:bottom w:val="single" w:color="auto" w:sz="4" w:space="0"/>
            </w:tcBorders>
            <w:vAlign w:val="center"/>
          </w:tcPr>
          <w:p w14:paraId="58470D27">
            <w:pPr>
              <w:spacing w:after="50" w:line="360" w:lineRule="auto"/>
              <w:ind w:right="-10" w:rightChars="0"/>
              <w:jc w:val="center"/>
              <w:rPr>
                <w:rFonts w:ascii="宋体" w:hAnsi="宋体" w:eastAsia="宋体" w:cs="@仿宋_GB2312"/>
                <w:kern w:val="2"/>
                <w:sz w:val="24"/>
                <w:szCs w:val="18"/>
                <w:lang w:val="en-US" w:eastAsia="zh-CN" w:bidi="ar-SA"/>
              </w:rPr>
            </w:pPr>
            <w:r>
              <w:rPr>
                <w:rFonts w:hint="eastAsia" w:ascii="宋体" w:hAnsi="宋体" w:eastAsia="宋体"/>
                <w:sz w:val="24"/>
                <w:szCs w:val="28"/>
              </w:rPr>
              <w:t>无重大违法、不良信用记录声明函</w:t>
            </w:r>
          </w:p>
        </w:tc>
        <w:tc>
          <w:tcPr>
            <w:tcW w:w="3627" w:type="dxa"/>
            <w:tcBorders>
              <w:bottom w:val="single" w:color="auto" w:sz="4" w:space="0"/>
            </w:tcBorders>
            <w:vAlign w:val="center"/>
          </w:tcPr>
          <w:p w14:paraId="45455EEF">
            <w:pPr>
              <w:spacing w:after="50" w:line="360" w:lineRule="auto"/>
              <w:ind w:right="-10" w:rightChars="0"/>
              <w:jc w:val="center"/>
              <w:rPr>
                <w:rFonts w:ascii="宋体" w:hAnsi="宋体" w:eastAsia="宋体" w:cs="@仿宋_GB2312"/>
                <w:kern w:val="2"/>
                <w:sz w:val="24"/>
                <w:szCs w:val="28"/>
                <w:lang w:val="en-US" w:eastAsia="zh-CN" w:bidi="ar-SA"/>
              </w:rPr>
            </w:pPr>
            <w:r>
              <w:rPr>
                <w:rFonts w:hint="eastAsia" w:ascii="宋体" w:hAnsi="宋体" w:eastAsia="宋体"/>
                <w:sz w:val="24"/>
                <w:szCs w:val="28"/>
              </w:rPr>
              <w:t>格式、填写要求符合磋商文件规定并加盖供应商电子签章</w:t>
            </w:r>
          </w:p>
        </w:tc>
        <w:tc>
          <w:tcPr>
            <w:tcW w:w="4699" w:type="dxa"/>
            <w:tcBorders>
              <w:bottom w:val="single" w:color="auto" w:sz="4" w:space="0"/>
            </w:tcBorders>
            <w:vAlign w:val="center"/>
          </w:tcPr>
          <w:p w14:paraId="5E9DEA38">
            <w:pPr>
              <w:adjustRightInd w:val="0"/>
              <w:snapToGrid w:val="0"/>
              <w:spacing w:line="360" w:lineRule="auto"/>
              <w:ind w:right="-10" w:rightChars="0"/>
              <w:jc w:val="left"/>
              <w:rPr>
                <w:rFonts w:ascii="宋体" w:hAnsi="宋体" w:eastAsia="宋体" w:cs="@仿宋_GB2312"/>
                <w:kern w:val="2"/>
                <w:sz w:val="24"/>
                <w:lang w:val="en-US" w:eastAsia="zh-CN" w:bidi="ar-SA"/>
              </w:rPr>
            </w:pPr>
            <w:r>
              <w:rPr>
                <w:rFonts w:hint="eastAsia" w:ascii="宋体" w:hAnsi="宋体" w:eastAsia="宋体"/>
                <w:sz w:val="24"/>
              </w:rPr>
              <w:t>详见第六章响应文件格式四</w:t>
            </w:r>
          </w:p>
        </w:tc>
      </w:tr>
      <w:tr w14:paraId="11A06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bottom w:val="single" w:color="auto" w:sz="4" w:space="0"/>
            </w:tcBorders>
            <w:vAlign w:val="center"/>
          </w:tcPr>
          <w:p w14:paraId="72404412">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3</w:t>
            </w:r>
          </w:p>
        </w:tc>
        <w:tc>
          <w:tcPr>
            <w:tcW w:w="1759" w:type="dxa"/>
            <w:tcBorders>
              <w:bottom w:val="single" w:color="auto" w:sz="4" w:space="0"/>
            </w:tcBorders>
            <w:vAlign w:val="center"/>
          </w:tcPr>
          <w:p w14:paraId="078641FC">
            <w:pPr>
              <w:spacing w:after="50" w:line="360" w:lineRule="auto"/>
              <w:ind w:right="-10" w:rightChars="0"/>
              <w:jc w:val="center"/>
              <w:rPr>
                <w:rFonts w:ascii="宋体" w:hAnsi="宋体" w:eastAsia="宋体" w:cs="@仿宋_GB2312"/>
                <w:kern w:val="2"/>
                <w:sz w:val="24"/>
                <w:szCs w:val="28"/>
                <w:lang w:val="en-US" w:eastAsia="zh-CN" w:bidi="ar-SA"/>
              </w:rPr>
            </w:pPr>
            <w:r>
              <w:rPr>
                <w:rFonts w:hint="eastAsia" w:ascii="宋体" w:hAnsi="宋体" w:eastAsia="宋体"/>
                <w:sz w:val="24"/>
                <w:szCs w:val="28"/>
              </w:rPr>
              <w:t>磋商响应函</w:t>
            </w:r>
          </w:p>
        </w:tc>
        <w:tc>
          <w:tcPr>
            <w:tcW w:w="3627" w:type="dxa"/>
            <w:tcBorders>
              <w:bottom w:val="single" w:color="auto" w:sz="4" w:space="0"/>
            </w:tcBorders>
            <w:vAlign w:val="center"/>
          </w:tcPr>
          <w:p w14:paraId="6E730FC3">
            <w:pPr>
              <w:spacing w:after="50" w:line="360" w:lineRule="auto"/>
              <w:ind w:right="-10" w:rightChars="0"/>
              <w:jc w:val="center"/>
              <w:rPr>
                <w:rFonts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磋商</w:t>
            </w:r>
            <w:r>
              <w:rPr>
                <w:rFonts w:hint="eastAsia" w:asciiTheme="minorEastAsia" w:hAnsiTheme="minorEastAsia" w:eastAsiaTheme="minorEastAsia"/>
                <w:sz w:val="24"/>
                <w:szCs w:val="28"/>
              </w:rPr>
              <w:t>文件规定并加盖</w:t>
            </w:r>
            <w:r>
              <w:rPr>
                <w:rFonts w:hint="eastAsia" w:ascii="宋体" w:hAnsi="宋体" w:eastAsia="宋体"/>
                <w:sz w:val="24"/>
                <w:szCs w:val="28"/>
              </w:rPr>
              <w:t>供应商</w:t>
            </w:r>
            <w:r>
              <w:rPr>
                <w:rFonts w:hint="eastAsia" w:asciiTheme="minorEastAsia" w:hAnsiTheme="minorEastAsia" w:eastAsiaTheme="minorEastAsia"/>
                <w:sz w:val="24"/>
                <w:szCs w:val="28"/>
              </w:rPr>
              <w:t>电子签章</w:t>
            </w:r>
          </w:p>
        </w:tc>
        <w:tc>
          <w:tcPr>
            <w:tcW w:w="4699" w:type="dxa"/>
            <w:tcBorders>
              <w:bottom w:val="single" w:color="auto" w:sz="4" w:space="0"/>
            </w:tcBorders>
            <w:vAlign w:val="center"/>
          </w:tcPr>
          <w:p w14:paraId="03D708CF">
            <w:pPr>
              <w:adjustRightInd w:val="0"/>
              <w:snapToGrid w:val="0"/>
              <w:spacing w:line="360" w:lineRule="auto"/>
              <w:ind w:right="-10" w:rightChars="0"/>
              <w:jc w:val="left"/>
              <w:rPr>
                <w:rFonts w:ascii="宋体" w:hAnsi="宋体" w:eastAsia="宋体" w:cs="@仿宋_GB2312"/>
                <w:kern w:val="2"/>
                <w:sz w:val="24"/>
                <w:lang w:val="en-US" w:eastAsia="zh-CN" w:bidi="ar-SA"/>
              </w:rPr>
            </w:pPr>
            <w:r>
              <w:rPr>
                <w:rFonts w:hint="eastAsia" w:asciiTheme="minorEastAsia" w:hAnsiTheme="minorEastAsia" w:eastAsiaTheme="minorEastAsia"/>
                <w:sz w:val="24"/>
              </w:rPr>
              <w:t>详见第六章</w:t>
            </w:r>
            <w:r>
              <w:rPr>
                <w:rFonts w:hint="eastAsia" w:ascii="宋体" w:hAnsi="宋体" w:eastAsia="宋体"/>
                <w:sz w:val="24"/>
              </w:rPr>
              <w:t>响应</w:t>
            </w:r>
            <w:r>
              <w:rPr>
                <w:rFonts w:hint="eastAsia" w:asciiTheme="minorEastAsia" w:hAnsiTheme="minorEastAsia" w:eastAsiaTheme="minorEastAsia"/>
                <w:sz w:val="24"/>
              </w:rPr>
              <w:t>文件格式三</w:t>
            </w:r>
          </w:p>
        </w:tc>
      </w:tr>
      <w:tr w14:paraId="76E32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bottom w:val="single" w:color="auto" w:sz="4" w:space="0"/>
            </w:tcBorders>
            <w:vAlign w:val="center"/>
          </w:tcPr>
          <w:p w14:paraId="28CE7E9B">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4</w:t>
            </w:r>
          </w:p>
        </w:tc>
        <w:tc>
          <w:tcPr>
            <w:tcW w:w="1759" w:type="dxa"/>
            <w:tcBorders>
              <w:bottom w:val="single" w:color="auto" w:sz="4" w:space="0"/>
            </w:tcBorders>
            <w:vAlign w:val="center"/>
          </w:tcPr>
          <w:p w14:paraId="78696406">
            <w:pPr>
              <w:spacing w:after="50" w:line="360" w:lineRule="auto"/>
              <w:ind w:right="-10" w:rightChars="0"/>
              <w:jc w:val="center"/>
              <w:rPr>
                <w:rFonts w:ascii="宋体" w:hAnsi="宋体" w:eastAsia="宋体" w:cs="@仿宋_GB2312"/>
                <w:kern w:val="2"/>
                <w:sz w:val="24"/>
                <w:szCs w:val="28"/>
                <w:lang w:val="en-US" w:eastAsia="zh-CN" w:bidi="ar-SA"/>
              </w:rPr>
            </w:pPr>
            <w:r>
              <w:rPr>
                <w:rFonts w:hint="eastAsia" w:ascii="宋体" w:hAnsi="宋体" w:eastAsia="宋体"/>
                <w:sz w:val="24"/>
                <w:szCs w:val="28"/>
              </w:rPr>
              <w:t>磋商授权书</w:t>
            </w:r>
          </w:p>
        </w:tc>
        <w:tc>
          <w:tcPr>
            <w:tcW w:w="3627" w:type="dxa"/>
            <w:tcBorders>
              <w:bottom w:val="single" w:color="auto" w:sz="4" w:space="0"/>
            </w:tcBorders>
            <w:vAlign w:val="center"/>
          </w:tcPr>
          <w:p w14:paraId="543C4FF0">
            <w:pPr>
              <w:spacing w:after="50" w:line="360" w:lineRule="auto"/>
              <w:ind w:right="-10" w:rightChars="0"/>
              <w:jc w:val="center"/>
              <w:rPr>
                <w:rFonts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格式、填写要求符合</w:t>
            </w:r>
            <w:r>
              <w:rPr>
                <w:rFonts w:hint="eastAsia" w:ascii="宋体" w:hAnsi="宋体" w:eastAsia="宋体"/>
                <w:sz w:val="24"/>
                <w:szCs w:val="28"/>
              </w:rPr>
              <w:t>磋商</w:t>
            </w:r>
            <w:r>
              <w:rPr>
                <w:rFonts w:hint="eastAsia" w:asciiTheme="minorEastAsia" w:hAnsiTheme="minorEastAsia" w:eastAsiaTheme="minorEastAsia"/>
                <w:sz w:val="24"/>
                <w:szCs w:val="28"/>
              </w:rPr>
              <w:t>文件规定并加盖供应商电子签章</w:t>
            </w:r>
          </w:p>
        </w:tc>
        <w:tc>
          <w:tcPr>
            <w:tcW w:w="4699" w:type="dxa"/>
            <w:tcBorders>
              <w:bottom w:val="single" w:color="auto" w:sz="4" w:space="0"/>
            </w:tcBorders>
            <w:vAlign w:val="center"/>
          </w:tcPr>
          <w:p w14:paraId="12BA007A">
            <w:pPr>
              <w:adjustRightInd w:val="0"/>
              <w:snapToGrid w:val="0"/>
              <w:spacing w:line="360" w:lineRule="auto"/>
              <w:ind w:right="-10" w:rightChars="0"/>
              <w:jc w:val="left"/>
              <w:rPr>
                <w:rFonts w:ascii="宋体" w:hAnsi="宋体" w:eastAsia="宋体" w:cs="@仿宋_GB2312"/>
                <w:kern w:val="2"/>
                <w:sz w:val="24"/>
                <w:lang w:val="en-US" w:eastAsia="zh-CN" w:bidi="ar-SA"/>
              </w:rPr>
            </w:pPr>
            <w:r>
              <w:rPr>
                <w:rFonts w:hint="eastAsia" w:asciiTheme="minorEastAsia" w:hAnsiTheme="minorEastAsia" w:eastAsiaTheme="minorEastAsia"/>
                <w:sz w:val="24"/>
              </w:rPr>
              <w:t>法定代表人参加磋商的无需此件，提供身份证明即可。详见第六章响应文件格式五</w:t>
            </w:r>
          </w:p>
        </w:tc>
      </w:tr>
      <w:tr w14:paraId="5B624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bottom w:val="single" w:color="auto" w:sz="4" w:space="0"/>
            </w:tcBorders>
            <w:vAlign w:val="center"/>
          </w:tcPr>
          <w:p w14:paraId="70AA6012">
            <w:pPr>
              <w:adjustRightInd w:val="0"/>
              <w:snapToGrid w:val="0"/>
              <w:spacing w:line="360" w:lineRule="auto"/>
              <w:ind w:right="-10"/>
              <w:jc w:val="center"/>
              <w:rPr>
                <w:rFonts w:hint="eastAsia" w:ascii="宋体" w:hAnsi="宋体" w:eastAsia="宋体"/>
                <w:sz w:val="24"/>
                <w:lang w:eastAsia="zh-CN"/>
              </w:rPr>
            </w:pPr>
            <w:r>
              <w:rPr>
                <w:rFonts w:hint="eastAsia" w:ascii="宋体" w:hAnsi="宋体" w:eastAsia="宋体"/>
                <w:sz w:val="24"/>
                <w:lang w:val="en-US" w:eastAsia="zh-CN"/>
              </w:rPr>
              <w:t>5</w:t>
            </w:r>
          </w:p>
        </w:tc>
        <w:tc>
          <w:tcPr>
            <w:tcW w:w="1759" w:type="dxa"/>
            <w:tcBorders>
              <w:bottom w:val="single" w:color="auto" w:sz="4" w:space="0"/>
            </w:tcBorders>
            <w:vAlign w:val="center"/>
          </w:tcPr>
          <w:p w14:paraId="01124E2E">
            <w:pPr>
              <w:spacing w:after="50" w:line="360" w:lineRule="auto"/>
              <w:ind w:right="-10" w:rightChars="0"/>
              <w:jc w:val="center"/>
              <w:rPr>
                <w:rFonts w:hint="eastAsia" w:cs="@仿宋_GB2312" w:asciiTheme="majorEastAsia" w:hAnsiTheme="majorEastAsia" w:eastAsiaTheme="majorEastAsia"/>
                <w:i/>
                <w:kern w:val="2"/>
                <w:sz w:val="24"/>
                <w:lang w:val="en-US" w:eastAsia="zh-CN" w:bidi="ar-SA"/>
              </w:rPr>
            </w:pPr>
            <w:r>
              <w:rPr>
                <w:rFonts w:hint="eastAsia" w:asciiTheme="minorEastAsia" w:hAnsiTheme="minorEastAsia" w:eastAsiaTheme="minorEastAsia"/>
                <w:sz w:val="24"/>
                <w:szCs w:val="28"/>
                <w:lang w:val="en-US" w:eastAsia="zh-CN"/>
              </w:rPr>
              <w:t>磋商</w:t>
            </w:r>
            <w:r>
              <w:rPr>
                <w:rFonts w:hint="eastAsia" w:asciiTheme="minorEastAsia" w:hAnsiTheme="minorEastAsia" w:eastAsiaTheme="minorEastAsia"/>
                <w:sz w:val="24"/>
                <w:szCs w:val="28"/>
              </w:rPr>
              <w:t>文件获取情况</w:t>
            </w:r>
          </w:p>
        </w:tc>
        <w:tc>
          <w:tcPr>
            <w:tcW w:w="3627" w:type="dxa"/>
            <w:tcBorders>
              <w:bottom w:val="single" w:color="auto" w:sz="4" w:space="0"/>
            </w:tcBorders>
            <w:vAlign w:val="center"/>
          </w:tcPr>
          <w:p w14:paraId="5EDAC964">
            <w:pPr>
              <w:spacing w:after="50" w:line="360" w:lineRule="auto"/>
              <w:ind w:right="-10" w:rightChars="0"/>
              <w:jc w:val="center"/>
              <w:rPr>
                <w:rFonts w:hint="eastAsia" w:cs="@仿宋_GB2312" w:asciiTheme="majorEastAsia" w:hAnsiTheme="majorEastAsia" w:eastAsiaTheme="majorEastAsia"/>
                <w:kern w:val="2"/>
                <w:sz w:val="24"/>
                <w:szCs w:val="28"/>
                <w:lang w:val="en-US" w:eastAsia="zh-CN" w:bidi="ar-SA"/>
              </w:rPr>
            </w:pPr>
            <w:r>
              <w:rPr>
                <w:rFonts w:hint="eastAsia" w:asciiTheme="minorEastAsia" w:hAnsiTheme="minorEastAsia" w:eastAsiaTheme="minorEastAsia"/>
                <w:sz w:val="24"/>
                <w:szCs w:val="28"/>
              </w:rPr>
              <w:t>在</w:t>
            </w:r>
            <w:r>
              <w:rPr>
                <w:rFonts w:hint="eastAsia" w:asciiTheme="minorEastAsia" w:hAnsiTheme="minorEastAsia" w:eastAsiaTheme="minorEastAsia"/>
                <w:sz w:val="24"/>
                <w:szCs w:val="28"/>
                <w:lang w:val="en-US" w:eastAsia="zh-CN"/>
              </w:rPr>
              <w:t>磋商</w:t>
            </w:r>
            <w:r>
              <w:rPr>
                <w:rFonts w:hint="eastAsia" w:asciiTheme="minorEastAsia" w:hAnsiTheme="minorEastAsia" w:eastAsiaTheme="minorEastAsia"/>
                <w:sz w:val="24"/>
                <w:szCs w:val="28"/>
              </w:rPr>
              <w:t>文件获取截止时间前完成</w:t>
            </w:r>
            <w:r>
              <w:rPr>
                <w:rFonts w:hint="eastAsia" w:asciiTheme="minorEastAsia" w:hAnsiTheme="minorEastAsia" w:eastAsiaTheme="minorEastAsia"/>
                <w:sz w:val="24"/>
                <w:szCs w:val="28"/>
                <w:lang w:val="en-US" w:eastAsia="zh-CN"/>
              </w:rPr>
              <w:t>磋商</w:t>
            </w:r>
            <w:r>
              <w:rPr>
                <w:rFonts w:hint="eastAsia" w:asciiTheme="minorEastAsia" w:hAnsiTheme="minorEastAsia" w:eastAsiaTheme="minorEastAsia"/>
                <w:sz w:val="24"/>
                <w:szCs w:val="28"/>
              </w:rPr>
              <w:t>文件获取</w:t>
            </w:r>
          </w:p>
        </w:tc>
        <w:tc>
          <w:tcPr>
            <w:tcW w:w="4699" w:type="dxa"/>
            <w:tcBorders>
              <w:bottom w:val="single" w:color="auto" w:sz="4" w:space="0"/>
            </w:tcBorders>
            <w:vAlign w:val="center"/>
          </w:tcPr>
          <w:p w14:paraId="6957EE44">
            <w:pPr>
              <w:spacing w:after="50" w:line="360" w:lineRule="auto"/>
              <w:ind w:right="-10" w:rightChars="0"/>
              <w:jc w:val="center"/>
              <w:rPr>
                <w:rFonts w:hint="eastAsia" w:cs="@仿宋_GB2312" w:asciiTheme="majorEastAsia" w:hAnsiTheme="majorEastAsia" w:eastAsiaTheme="majorEastAsia"/>
                <w:kern w:val="2"/>
                <w:sz w:val="24"/>
                <w:lang w:val="en-US" w:eastAsia="zh-CN" w:bidi="ar-SA"/>
              </w:rPr>
            </w:pPr>
          </w:p>
        </w:tc>
      </w:tr>
      <w:tr w14:paraId="0004F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bottom w:val="single" w:color="auto" w:sz="4" w:space="0"/>
            </w:tcBorders>
            <w:vAlign w:val="center"/>
          </w:tcPr>
          <w:p w14:paraId="4BB896B6">
            <w:pPr>
              <w:adjustRightInd w:val="0"/>
              <w:snapToGrid w:val="0"/>
              <w:spacing w:line="360" w:lineRule="auto"/>
              <w:ind w:right="-10"/>
              <w:jc w:val="center"/>
              <w:rPr>
                <w:rFonts w:hint="eastAsia" w:ascii="宋体" w:hAnsi="宋体" w:eastAsia="宋体"/>
                <w:sz w:val="24"/>
                <w:lang w:val="en-US" w:eastAsia="zh-CN"/>
              </w:rPr>
            </w:pPr>
            <w:r>
              <w:rPr>
                <w:rFonts w:hint="eastAsia" w:ascii="宋体" w:hAnsi="宋体" w:eastAsia="宋体"/>
                <w:sz w:val="24"/>
                <w:lang w:val="en-US" w:eastAsia="zh-CN"/>
              </w:rPr>
              <w:t>6</w:t>
            </w:r>
          </w:p>
        </w:tc>
        <w:tc>
          <w:tcPr>
            <w:tcW w:w="1759" w:type="dxa"/>
            <w:tcBorders>
              <w:bottom w:val="single" w:color="auto" w:sz="4" w:space="0"/>
            </w:tcBorders>
            <w:vAlign w:val="center"/>
          </w:tcPr>
          <w:p w14:paraId="4E0488B4">
            <w:pPr>
              <w:spacing w:after="50" w:line="360" w:lineRule="auto"/>
              <w:ind w:right="-10" w:rightChars="0"/>
              <w:jc w:val="center"/>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磋商报价</w:t>
            </w:r>
          </w:p>
        </w:tc>
        <w:tc>
          <w:tcPr>
            <w:tcW w:w="3627" w:type="dxa"/>
            <w:tcBorders>
              <w:bottom w:val="single" w:color="auto" w:sz="4" w:space="0"/>
            </w:tcBorders>
            <w:vAlign w:val="center"/>
          </w:tcPr>
          <w:p w14:paraId="224319E9">
            <w:pPr>
              <w:spacing w:after="50" w:line="360" w:lineRule="auto"/>
              <w:ind w:right="-10" w:rightChars="0"/>
              <w:jc w:val="center"/>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符合磋商</w:t>
            </w:r>
            <w:r>
              <w:rPr>
                <w:rFonts w:hint="eastAsia" w:asciiTheme="minorEastAsia" w:hAnsiTheme="minorEastAsia" w:eastAsiaTheme="minorEastAsia"/>
                <w:sz w:val="24"/>
              </w:rPr>
              <w:t>文件供应商须知正文第1</w:t>
            </w:r>
            <w:r>
              <w:rPr>
                <w:rFonts w:asciiTheme="minorEastAsia" w:hAnsiTheme="minorEastAsia" w:eastAsiaTheme="minorEastAsia"/>
                <w:sz w:val="24"/>
              </w:rPr>
              <w:t>2</w:t>
            </w:r>
            <w:r>
              <w:rPr>
                <w:rFonts w:hint="eastAsia" w:asciiTheme="minorEastAsia" w:hAnsiTheme="minorEastAsia" w:eastAsiaTheme="minorEastAsia"/>
                <w:sz w:val="24"/>
              </w:rPr>
              <w:t>、22条要求</w:t>
            </w:r>
          </w:p>
        </w:tc>
        <w:tc>
          <w:tcPr>
            <w:tcW w:w="4699" w:type="dxa"/>
            <w:tcBorders>
              <w:bottom w:val="single" w:color="auto" w:sz="4" w:space="0"/>
            </w:tcBorders>
            <w:vAlign w:val="center"/>
          </w:tcPr>
          <w:p w14:paraId="7B8C3C7F">
            <w:pPr>
              <w:adjustRightInd w:val="0"/>
              <w:snapToGrid w:val="0"/>
              <w:spacing w:line="360" w:lineRule="auto"/>
              <w:ind w:right="-10" w:rightChars="0"/>
              <w:jc w:val="left"/>
              <w:rPr>
                <w:rFonts w:hint="eastAsia" w:ascii="宋体" w:hAnsi="宋体" w:eastAsia="宋体" w:cs="@仿宋_GB2312"/>
                <w:kern w:val="2"/>
                <w:sz w:val="24"/>
                <w:lang w:val="en-US" w:eastAsia="zh-CN" w:bidi="ar-SA"/>
              </w:rPr>
            </w:pPr>
            <w:r>
              <w:rPr>
                <w:rFonts w:hint="eastAsia" w:asciiTheme="minorEastAsia" w:hAnsiTheme="minorEastAsia" w:eastAsiaTheme="minorEastAsia"/>
                <w:sz w:val="24"/>
              </w:rPr>
              <w:t>详见第六章响应文件格式一、二</w:t>
            </w:r>
          </w:p>
        </w:tc>
      </w:tr>
      <w:tr w14:paraId="32953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bottom w:val="single" w:color="auto" w:sz="4" w:space="0"/>
            </w:tcBorders>
            <w:vAlign w:val="center"/>
          </w:tcPr>
          <w:p w14:paraId="1D8B0DCF">
            <w:pPr>
              <w:adjustRightInd w:val="0"/>
              <w:snapToGrid w:val="0"/>
              <w:spacing w:line="360" w:lineRule="auto"/>
              <w:ind w:right="-10"/>
              <w:jc w:val="center"/>
              <w:rPr>
                <w:rFonts w:hint="default" w:ascii="宋体" w:hAnsi="宋体" w:eastAsia="宋体"/>
                <w:sz w:val="24"/>
                <w:lang w:val="en-US" w:eastAsia="zh-CN"/>
              </w:rPr>
            </w:pPr>
            <w:r>
              <w:rPr>
                <w:rFonts w:hint="eastAsia" w:ascii="宋体" w:hAnsi="宋体" w:eastAsia="宋体"/>
                <w:sz w:val="24"/>
                <w:lang w:val="en-US" w:eastAsia="zh-CN"/>
              </w:rPr>
              <w:t>7</w:t>
            </w:r>
          </w:p>
        </w:tc>
        <w:tc>
          <w:tcPr>
            <w:tcW w:w="1759" w:type="dxa"/>
            <w:tcBorders>
              <w:bottom w:val="single" w:color="auto" w:sz="4" w:space="0"/>
            </w:tcBorders>
            <w:vAlign w:val="center"/>
          </w:tcPr>
          <w:p w14:paraId="0927D377">
            <w:pPr>
              <w:spacing w:after="50" w:line="360" w:lineRule="auto"/>
              <w:ind w:right="-10" w:rightChars="0"/>
              <w:jc w:val="center"/>
              <w:rPr>
                <w:rFonts w:hint="default"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商务响应情况</w:t>
            </w:r>
          </w:p>
        </w:tc>
        <w:tc>
          <w:tcPr>
            <w:tcW w:w="3627" w:type="dxa"/>
            <w:tcBorders>
              <w:bottom w:val="single" w:color="auto" w:sz="4" w:space="0"/>
            </w:tcBorders>
            <w:vAlign w:val="center"/>
          </w:tcPr>
          <w:p w14:paraId="59D0A7DB">
            <w:pPr>
              <w:spacing w:after="50" w:line="360" w:lineRule="auto"/>
              <w:ind w:right="-10" w:rightChars="0"/>
              <w:jc w:val="center"/>
              <w:rPr>
                <w:rFonts w:hint="default"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符合磋商文件采购需求中付款方式、服务期限、服务地点的要求</w:t>
            </w:r>
          </w:p>
        </w:tc>
        <w:tc>
          <w:tcPr>
            <w:tcW w:w="4699" w:type="dxa"/>
            <w:tcBorders>
              <w:bottom w:val="single" w:color="auto" w:sz="4" w:space="0"/>
            </w:tcBorders>
            <w:vAlign w:val="center"/>
          </w:tcPr>
          <w:p w14:paraId="7A32DFE0">
            <w:pPr>
              <w:adjustRightInd w:val="0"/>
              <w:snapToGrid w:val="0"/>
              <w:spacing w:line="360" w:lineRule="auto"/>
              <w:ind w:right="-10" w:rightChars="0"/>
              <w:jc w:val="left"/>
              <w:rPr>
                <w:rFonts w:hint="default" w:ascii="宋体" w:hAnsi="宋体" w:eastAsia="宋体" w:cs="@仿宋_GB2312"/>
                <w:kern w:val="2"/>
                <w:sz w:val="24"/>
                <w:lang w:val="en-US" w:eastAsia="zh-CN" w:bidi="ar-SA"/>
              </w:rPr>
            </w:pPr>
            <w:r>
              <w:rPr>
                <w:rFonts w:hint="eastAsia" w:asciiTheme="minorEastAsia" w:hAnsiTheme="minorEastAsia" w:eastAsiaTheme="minorEastAsia"/>
                <w:sz w:val="24"/>
              </w:rPr>
              <w:t>详见第六章响应文件格式六</w:t>
            </w:r>
          </w:p>
        </w:tc>
      </w:tr>
      <w:tr w14:paraId="791E2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bottom w:val="single" w:color="auto" w:sz="4" w:space="0"/>
            </w:tcBorders>
            <w:vAlign w:val="center"/>
          </w:tcPr>
          <w:p w14:paraId="2BAEF6DB">
            <w:pPr>
              <w:adjustRightInd w:val="0"/>
              <w:snapToGrid w:val="0"/>
              <w:spacing w:line="360" w:lineRule="auto"/>
              <w:ind w:right="-10"/>
              <w:jc w:val="center"/>
              <w:rPr>
                <w:rFonts w:hint="eastAsia" w:asciiTheme="majorEastAsia" w:hAnsiTheme="majorEastAsia" w:eastAsiaTheme="majorEastAsia"/>
                <w:sz w:val="24"/>
                <w:lang w:eastAsia="zh-CN"/>
              </w:rPr>
            </w:pPr>
            <w:r>
              <w:rPr>
                <w:rFonts w:hint="eastAsia" w:asciiTheme="majorEastAsia" w:hAnsiTheme="majorEastAsia" w:eastAsiaTheme="majorEastAsia"/>
                <w:sz w:val="24"/>
                <w:lang w:val="en-US" w:eastAsia="zh-CN"/>
              </w:rPr>
              <w:t>8</w:t>
            </w:r>
          </w:p>
        </w:tc>
        <w:tc>
          <w:tcPr>
            <w:tcW w:w="1759" w:type="dxa"/>
            <w:tcBorders>
              <w:bottom w:val="single" w:color="auto" w:sz="4" w:space="0"/>
            </w:tcBorders>
            <w:vAlign w:val="center"/>
          </w:tcPr>
          <w:p w14:paraId="3B1AA8AC">
            <w:pPr>
              <w:spacing w:after="50" w:line="360" w:lineRule="auto"/>
              <w:ind w:right="-10" w:rightChars="0"/>
              <w:jc w:val="center"/>
              <w:rPr>
                <w:rFonts w:hint="eastAsia" w:ascii="宋体" w:hAnsi="宋体" w:eastAsia="宋体" w:cs="Tahoma"/>
                <w:b/>
                <w:bCs/>
                <w:kern w:val="0"/>
                <w:sz w:val="24"/>
                <w:szCs w:val="24"/>
                <w:lang w:val="en-US" w:eastAsia="zh-CN" w:bidi="ar-SA"/>
              </w:rPr>
            </w:pPr>
            <w:r>
              <w:rPr>
                <w:rFonts w:hint="eastAsia" w:ascii="宋体" w:hAnsi="宋体" w:eastAsia="宋体" w:cs="Tahoma"/>
                <w:b/>
                <w:bCs/>
                <w:kern w:val="0"/>
                <w:sz w:val="24"/>
                <w:szCs w:val="24"/>
                <w:lang w:val="en-US" w:eastAsia="zh-CN"/>
              </w:rPr>
              <w:t>响应</w:t>
            </w:r>
            <w:r>
              <w:rPr>
                <w:rFonts w:hint="eastAsia" w:ascii="宋体" w:hAnsi="宋体" w:eastAsia="宋体" w:cs="Tahoma"/>
                <w:b/>
                <w:bCs/>
                <w:kern w:val="0"/>
                <w:sz w:val="24"/>
                <w:szCs w:val="24"/>
              </w:rPr>
              <w:t>文件制作机器码查询</w:t>
            </w:r>
          </w:p>
        </w:tc>
        <w:tc>
          <w:tcPr>
            <w:tcW w:w="3627" w:type="dxa"/>
            <w:tcBorders>
              <w:bottom w:val="single" w:color="auto" w:sz="4" w:space="0"/>
            </w:tcBorders>
            <w:vAlign w:val="center"/>
          </w:tcPr>
          <w:p w14:paraId="769138A7">
            <w:pPr>
              <w:spacing w:after="50" w:line="360" w:lineRule="auto"/>
              <w:ind w:right="-10" w:rightChars="0"/>
              <w:jc w:val="left"/>
              <w:rPr>
                <w:rFonts w:hint="eastAsia" w:ascii="宋体" w:hAnsi="宋体" w:eastAsia="宋体" w:cs="Tahoma"/>
                <w:b/>
                <w:bCs/>
                <w:kern w:val="0"/>
                <w:sz w:val="24"/>
                <w:szCs w:val="24"/>
                <w:lang w:val="en-US" w:eastAsia="zh-CN" w:bidi="ar-SA"/>
              </w:rPr>
            </w:pPr>
            <w:r>
              <w:rPr>
                <w:rFonts w:hint="eastAsia" w:ascii="宋体" w:hAnsi="宋体" w:eastAsia="宋体" w:cs="Tahoma"/>
                <w:b/>
                <w:bCs/>
                <w:kern w:val="0"/>
                <w:sz w:val="24"/>
                <w:szCs w:val="24"/>
              </w:rPr>
              <w:t>不同</w:t>
            </w:r>
            <w:r>
              <w:rPr>
                <w:rFonts w:hint="eastAsia" w:ascii="宋体" w:hAnsi="宋体" w:eastAsia="宋体" w:cs="Tahoma"/>
                <w:b/>
                <w:bCs/>
                <w:kern w:val="0"/>
                <w:sz w:val="24"/>
                <w:szCs w:val="24"/>
                <w:lang w:val="en-US" w:eastAsia="zh-CN"/>
              </w:rPr>
              <w:t>供应商</w:t>
            </w:r>
            <w:r>
              <w:rPr>
                <w:rFonts w:hint="eastAsia" w:ascii="宋体" w:hAnsi="宋体" w:eastAsia="宋体" w:cs="Tahoma"/>
                <w:b/>
                <w:bCs/>
                <w:kern w:val="0"/>
                <w:sz w:val="24"/>
                <w:szCs w:val="24"/>
              </w:rPr>
              <w:t>的</w:t>
            </w:r>
            <w:r>
              <w:rPr>
                <w:rFonts w:hint="eastAsia" w:ascii="宋体" w:hAnsi="宋体" w:eastAsia="宋体" w:cs="Tahoma"/>
                <w:b/>
                <w:bCs/>
                <w:kern w:val="0"/>
                <w:sz w:val="24"/>
                <w:szCs w:val="24"/>
                <w:lang w:val="en-US" w:eastAsia="zh-CN"/>
              </w:rPr>
              <w:t>响应</w:t>
            </w:r>
            <w:r>
              <w:rPr>
                <w:rFonts w:hint="eastAsia" w:ascii="宋体" w:hAnsi="宋体" w:eastAsia="宋体" w:cs="Tahoma"/>
                <w:b/>
                <w:bCs/>
                <w:kern w:val="0"/>
                <w:sz w:val="24"/>
                <w:szCs w:val="24"/>
              </w:rPr>
              <w:t>文件制作机器码不得相同</w:t>
            </w:r>
          </w:p>
        </w:tc>
        <w:tc>
          <w:tcPr>
            <w:tcW w:w="4699" w:type="dxa"/>
            <w:tcBorders>
              <w:bottom w:val="single" w:color="auto" w:sz="4" w:space="0"/>
            </w:tcBorders>
            <w:vAlign w:val="center"/>
          </w:tcPr>
          <w:p w14:paraId="70E6BAA6">
            <w:pPr>
              <w:adjustRightInd w:val="0"/>
              <w:snapToGrid w:val="0"/>
              <w:spacing w:line="360" w:lineRule="auto"/>
              <w:ind w:right="-10" w:rightChars="0"/>
              <w:jc w:val="left"/>
              <w:rPr>
                <w:rFonts w:cs="@仿宋_GB2312" w:asciiTheme="majorEastAsia" w:hAnsiTheme="majorEastAsia" w:eastAsiaTheme="majorEastAsia"/>
                <w:kern w:val="2"/>
                <w:sz w:val="24"/>
                <w:lang w:val="en-US" w:eastAsia="zh-CN" w:bidi="ar-SA"/>
              </w:rPr>
            </w:pPr>
          </w:p>
        </w:tc>
      </w:tr>
      <w:tr w14:paraId="05B28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7" w:type="dxa"/>
            <w:tcBorders>
              <w:bottom w:val="single" w:color="auto" w:sz="4" w:space="0"/>
            </w:tcBorders>
            <w:vAlign w:val="center"/>
          </w:tcPr>
          <w:p w14:paraId="0AE7E0AB">
            <w:pPr>
              <w:adjustRightInd w:val="0"/>
              <w:snapToGrid w:val="0"/>
              <w:spacing w:line="360" w:lineRule="auto"/>
              <w:ind w:right="-10"/>
              <w:jc w:val="center"/>
              <w:rPr>
                <w:rFonts w:hint="default" w:asciiTheme="majorEastAsia" w:hAnsiTheme="majorEastAsia" w:eastAsiaTheme="majorEastAsia"/>
                <w:sz w:val="24"/>
                <w:lang w:val="en-US" w:eastAsia="zh-CN"/>
              </w:rPr>
            </w:pPr>
            <w:r>
              <w:rPr>
                <w:rFonts w:hint="eastAsia" w:asciiTheme="majorEastAsia" w:hAnsiTheme="majorEastAsia" w:eastAsiaTheme="majorEastAsia"/>
                <w:sz w:val="24"/>
                <w:lang w:val="en-US" w:eastAsia="zh-CN"/>
              </w:rPr>
              <w:t>9</w:t>
            </w:r>
          </w:p>
        </w:tc>
        <w:tc>
          <w:tcPr>
            <w:tcW w:w="1759" w:type="dxa"/>
            <w:tcBorders>
              <w:bottom w:val="single" w:color="auto" w:sz="4" w:space="0"/>
            </w:tcBorders>
            <w:shd w:val="clear" w:color="auto" w:fill="auto"/>
            <w:vAlign w:val="center"/>
          </w:tcPr>
          <w:p w14:paraId="33E08442">
            <w:pPr>
              <w:spacing w:after="50" w:line="360" w:lineRule="auto"/>
              <w:ind w:right="-10" w:rightChars="0"/>
              <w:jc w:val="center"/>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其他要求</w:t>
            </w:r>
          </w:p>
        </w:tc>
        <w:tc>
          <w:tcPr>
            <w:tcW w:w="3627" w:type="dxa"/>
            <w:tcBorders>
              <w:bottom w:val="single" w:color="auto" w:sz="4" w:space="0"/>
            </w:tcBorders>
            <w:shd w:val="clear" w:color="auto" w:fill="auto"/>
            <w:vAlign w:val="center"/>
          </w:tcPr>
          <w:p w14:paraId="588F9C46">
            <w:pPr>
              <w:spacing w:after="50" w:line="360" w:lineRule="auto"/>
              <w:ind w:right="-10" w:rightChars="0"/>
              <w:jc w:val="center"/>
              <w:rPr>
                <w:rFonts w:hint="eastAsia" w:ascii="宋体" w:hAnsi="宋体" w:eastAsia="宋体" w:cs="@仿宋_GB2312"/>
                <w:kern w:val="2"/>
                <w:sz w:val="24"/>
                <w:szCs w:val="28"/>
                <w:lang w:val="en-US" w:eastAsia="zh-CN" w:bidi="ar-SA"/>
              </w:rPr>
            </w:pPr>
            <w:r>
              <w:rPr>
                <w:rFonts w:hint="eastAsia" w:asciiTheme="minorEastAsia" w:hAnsiTheme="minorEastAsia" w:eastAsiaTheme="minorEastAsia"/>
                <w:sz w:val="24"/>
                <w:szCs w:val="28"/>
              </w:rPr>
              <w:t>符合法律、行政法规规定的其他条件或磋商文件列明的其他要求</w:t>
            </w:r>
          </w:p>
        </w:tc>
        <w:tc>
          <w:tcPr>
            <w:tcW w:w="4699" w:type="dxa"/>
            <w:tcBorders>
              <w:bottom w:val="single" w:color="auto" w:sz="4" w:space="0"/>
            </w:tcBorders>
            <w:vAlign w:val="center"/>
          </w:tcPr>
          <w:p w14:paraId="25E40E8C">
            <w:pPr>
              <w:adjustRightInd w:val="0"/>
              <w:snapToGrid w:val="0"/>
              <w:spacing w:line="360" w:lineRule="auto"/>
              <w:ind w:right="-10" w:rightChars="0"/>
              <w:jc w:val="left"/>
              <w:rPr>
                <w:rFonts w:cs="@仿宋_GB2312" w:asciiTheme="majorEastAsia" w:hAnsiTheme="majorEastAsia" w:eastAsiaTheme="majorEastAsia"/>
                <w:kern w:val="2"/>
                <w:sz w:val="24"/>
                <w:lang w:val="en-US" w:eastAsia="zh-CN" w:bidi="ar-SA"/>
              </w:rPr>
            </w:pPr>
          </w:p>
        </w:tc>
      </w:tr>
    </w:tbl>
    <w:p w14:paraId="1F076D3B">
      <w:pPr>
        <w:spacing w:line="360" w:lineRule="auto"/>
        <w:ind w:firstLine="435"/>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549EDF25">
      <w:pPr>
        <w:spacing w:line="360" w:lineRule="auto"/>
        <w:ind w:firstLine="435"/>
        <w:outlineLvl w:val="2"/>
        <w:rPr>
          <w:rFonts w:asciiTheme="minorEastAsia" w:hAnsiTheme="minorEastAsia" w:eastAsiaTheme="minorEastAsia"/>
          <w:b/>
          <w:sz w:val="24"/>
        </w:rPr>
      </w:pPr>
      <w:r>
        <w:rPr>
          <w:rFonts w:hint="eastAsia" w:asciiTheme="minorEastAsia" w:hAnsiTheme="minorEastAsia" w:eastAsiaTheme="minorEastAsia"/>
          <w:b/>
          <w:sz w:val="24"/>
        </w:rPr>
        <w:t>2.2综合评分</w:t>
      </w:r>
    </w:p>
    <w:p w14:paraId="19EB4028">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.1</w:t>
      </w:r>
      <w:r>
        <w:rPr>
          <w:rFonts w:hint="eastAsia" w:asciiTheme="minorEastAsia" w:hAnsiTheme="minorEastAsia" w:eastAsiaTheme="minorEastAsia"/>
          <w:sz w:val="24"/>
        </w:rPr>
        <w:t>磋商小组按照下表对</w:t>
      </w:r>
      <w:r>
        <w:rPr>
          <w:rFonts w:hint="eastAsia" w:ascii="宋体" w:hAnsi="宋体" w:eastAsia="宋体"/>
          <w:sz w:val="24"/>
        </w:rPr>
        <w:t>进入综合评分的所有供应商的</w:t>
      </w:r>
      <w:r>
        <w:rPr>
          <w:rFonts w:hint="eastAsia" w:asciiTheme="minorEastAsia" w:hAnsiTheme="minorEastAsia" w:eastAsiaTheme="minorEastAsia"/>
          <w:sz w:val="24"/>
        </w:rPr>
        <w:t>响应文件进行综合评分。</w:t>
      </w:r>
    </w:p>
    <w:p w14:paraId="417CC699">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.2</w:t>
      </w:r>
      <w:r>
        <w:rPr>
          <w:rFonts w:hint="eastAsia" w:asciiTheme="minorEastAsia" w:hAnsiTheme="minorEastAsia" w:eastAsiaTheme="minorEastAsia"/>
          <w:sz w:val="24"/>
        </w:rPr>
        <w:t>本项目综合评分满分为1</w:t>
      </w:r>
      <w:r>
        <w:rPr>
          <w:rFonts w:asciiTheme="minorEastAsia" w:hAnsiTheme="minorEastAsia" w:eastAsiaTheme="minorEastAsia"/>
          <w:sz w:val="24"/>
        </w:rPr>
        <w:t>00</w:t>
      </w:r>
      <w:r>
        <w:rPr>
          <w:rFonts w:hint="eastAsia" w:asciiTheme="minorEastAsia" w:hAnsiTheme="minorEastAsia" w:eastAsiaTheme="minorEastAsia"/>
          <w:sz w:val="24"/>
        </w:rPr>
        <w:t>分，其中：技术资信分值占总分值的权重为</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85</w:t>
      </w:r>
      <w:r>
        <w:rPr>
          <w:rFonts w:asciiTheme="minorEastAsia" w:hAnsiTheme="minorEastAsia" w:eastAsiaTheme="minorEastAsia"/>
          <w:color w:val="000000" w:themeColor="text1"/>
          <w:sz w:val="24"/>
          <w14:textFill>
            <w14:solidFill>
              <w14:schemeClr w14:val="tx1"/>
            </w14:solidFill>
          </w14:textFill>
        </w:rPr>
        <w:t>%，价格分值占总分值的权重为</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15</w:t>
      </w:r>
      <w:r>
        <w:rPr>
          <w:rFonts w:asciiTheme="minorEastAsia" w:hAnsiTheme="minorEastAsia" w:eastAsiaTheme="minorEastAsia"/>
          <w:sz w:val="24"/>
        </w:rPr>
        <w:t>%。具体评分细则如下：</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1"/>
        <w:gridCol w:w="995"/>
        <w:gridCol w:w="6055"/>
        <w:gridCol w:w="761"/>
      </w:tblGrid>
      <w:tr w14:paraId="20CCD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711" w:type="dxa"/>
            <w:tcBorders>
              <w:top w:val="single" w:color="auto" w:sz="4" w:space="0"/>
              <w:left w:val="single" w:color="auto" w:sz="4" w:space="0"/>
              <w:bottom w:val="single" w:color="auto" w:sz="4" w:space="0"/>
              <w:right w:val="single" w:color="auto" w:sz="4" w:space="0"/>
            </w:tcBorders>
            <w:vAlign w:val="center"/>
          </w:tcPr>
          <w:p w14:paraId="54F92182">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类别</w:t>
            </w:r>
          </w:p>
        </w:tc>
        <w:tc>
          <w:tcPr>
            <w:tcW w:w="995" w:type="dxa"/>
            <w:tcBorders>
              <w:top w:val="single" w:color="auto" w:sz="4" w:space="0"/>
              <w:left w:val="single" w:color="auto" w:sz="4" w:space="0"/>
              <w:bottom w:val="single" w:color="auto" w:sz="4" w:space="0"/>
              <w:right w:val="single" w:color="auto" w:sz="4" w:space="0"/>
            </w:tcBorders>
            <w:vAlign w:val="center"/>
          </w:tcPr>
          <w:p w14:paraId="10E24CCD">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评分内容</w:t>
            </w:r>
          </w:p>
        </w:tc>
        <w:tc>
          <w:tcPr>
            <w:tcW w:w="6055" w:type="dxa"/>
            <w:tcBorders>
              <w:top w:val="single" w:color="auto" w:sz="4" w:space="0"/>
              <w:left w:val="single" w:color="auto" w:sz="4" w:space="0"/>
              <w:bottom w:val="single" w:color="auto" w:sz="4" w:space="0"/>
              <w:right w:val="single" w:color="auto" w:sz="4" w:space="0"/>
            </w:tcBorders>
            <w:vAlign w:val="center"/>
          </w:tcPr>
          <w:p w14:paraId="0C7B2025">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评分标准</w:t>
            </w:r>
          </w:p>
        </w:tc>
        <w:tc>
          <w:tcPr>
            <w:tcW w:w="761" w:type="dxa"/>
            <w:tcBorders>
              <w:top w:val="single" w:color="auto" w:sz="4" w:space="0"/>
              <w:left w:val="single" w:color="auto" w:sz="4" w:space="0"/>
              <w:bottom w:val="single" w:color="auto" w:sz="4" w:space="0"/>
              <w:right w:val="single" w:color="auto" w:sz="4" w:space="0"/>
            </w:tcBorders>
            <w:vAlign w:val="center"/>
          </w:tcPr>
          <w:p w14:paraId="5B3AD847">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b/>
                <w:bCs/>
                <w:color w:val="000000" w:themeColor="text1"/>
                <w:sz w:val="24"/>
                <w14:textFill>
                  <w14:solidFill>
                    <w14:schemeClr w14:val="tx1"/>
                  </w14:solidFill>
                </w14:textFill>
              </w:rPr>
              <w:t>分值范围</w:t>
            </w:r>
          </w:p>
        </w:tc>
      </w:tr>
      <w:tr w14:paraId="1FE70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restart"/>
            <w:tcBorders>
              <w:top w:val="single" w:color="auto" w:sz="4" w:space="0"/>
              <w:left w:val="single" w:color="auto" w:sz="4" w:space="0"/>
              <w:right w:val="single" w:color="auto" w:sz="4" w:space="0"/>
            </w:tcBorders>
            <w:vAlign w:val="center"/>
          </w:tcPr>
          <w:p w14:paraId="3B586448">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技术资信分</w:t>
            </w:r>
          </w:p>
          <w:p w14:paraId="5033C1AF">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85</w:t>
            </w:r>
            <w:r>
              <w:rPr>
                <w:rFonts w:hint="eastAsia" w:asciiTheme="minorEastAsia" w:hAnsiTheme="minorEastAsia" w:eastAsiaTheme="minorEastAsia"/>
                <w:color w:val="000000" w:themeColor="text1"/>
                <w:sz w:val="24"/>
                <w14:textFill>
                  <w14:solidFill>
                    <w14:schemeClr w14:val="tx1"/>
                  </w14:solidFill>
                </w14:textFill>
              </w:rPr>
              <w:t>分）</w:t>
            </w: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5E2509EF">
            <w:pPr>
              <w:pageBreakBefore w:val="0"/>
              <w:kinsoku/>
              <w:wordWrap/>
              <w:overflowPunct/>
              <w:topLinePunct w:val="0"/>
              <w:bidi w:val="0"/>
              <w:spacing w:line="360" w:lineRule="auto"/>
              <w:rPr>
                <w:rFonts w:cs="@仿宋_GB2312" w:asciiTheme="minorEastAsia" w:hAnsiTheme="minorEastAsia" w:eastAsiaTheme="minorEastAsia"/>
                <w:bCs/>
                <w:color w:val="auto"/>
                <w:kern w:val="2"/>
                <w:sz w:val="24"/>
                <w:lang w:val="en-US" w:eastAsia="zh-CN" w:bidi="ar-SA"/>
              </w:rPr>
            </w:pPr>
            <w:r>
              <w:rPr>
                <w:rFonts w:hint="eastAsia" w:asciiTheme="minorEastAsia" w:hAnsiTheme="minorEastAsia" w:eastAsiaTheme="minorEastAsia" w:cstheme="minorEastAsia"/>
                <w:sz w:val="24"/>
                <w:szCs w:val="24"/>
                <w:lang w:eastAsia="zh-CN"/>
              </w:rPr>
              <w:t>业绩</w:t>
            </w:r>
          </w:p>
        </w:tc>
        <w:tc>
          <w:tcPr>
            <w:tcW w:w="6055" w:type="dxa"/>
            <w:tcBorders>
              <w:top w:val="single" w:color="auto" w:sz="4" w:space="0"/>
              <w:left w:val="single" w:color="auto" w:sz="4" w:space="0"/>
              <w:bottom w:val="single" w:color="auto" w:sz="4" w:space="0"/>
              <w:right w:val="single" w:color="auto" w:sz="4" w:space="0"/>
            </w:tcBorders>
            <w:shd w:val="clear" w:color="auto" w:fill="auto"/>
            <w:vAlign w:val="top"/>
          </w:tcPr>
          <w:p w14:paraId="49446B8F">
            <w:pPr>
              <w:pageBreakBefore w:val="0"/>
              <w:widowControl/>
              <w:kinsoku/>
              <w:wordWrap/>
              <w:overflowPunct/>
              <w:topLinePunct w:val="0"/>
              <w:bidi w:val="0"/>
              <w:spacing w:line="360" w:lineRule="auto"/>
              <w:jc w:val="left"/>
              <w:rPr>
                <w:rFonts w:hint="eastAsia" w:ascii="宋体" w:hAnsi="宋体" w:eastAsia="宋体" w:cs="宋体"/>
                <w:color w:val="auto"/>
                <w:sz w:val="24"/>
                <w:szCs w:val="24"/>
              </w:rPr>
            </w:pP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自</w:t>
            </w:r>
            <w:r>
              <w:rPr>
                <w:rFonts w:hint="eastAsia" w:ascii="宋体" w:hAnsi="宋体" w:eastAsia="宋体" w:cs="宋体"/>
                <w:color w:val="auto"/>
                <w:kern w:val="0"/>
                <w:sz w:val="24"/>
                <w:szCs w:val="24"/>
                <w:lang w:val="en-US" w:eastAsia="zh-CN"/>
              </w:rPr>
              <w:t>2021</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日以来（以合同或合作协议签订时间为准），</w:t>
            </w:r>
            <w:r>
              <w:rPr>
                <w:rFonts w:hint="eastAsia" w:ascii="宋体" w:hAnsi="宋体" w:eastAsia="宋体" w:cs="宋体"/>
                <w:bCs/>
                <w:color w:val="auto"/>
                <w:sz w:val="24"/>
                <w:szCs w:val="24"/>
                <w:lang w:val="en-US" w:eastAsia="zh-CN"/>
              </w:rPr>
              <w:t>供应商</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校友服务</w:t>
            </w:r>
            <w:r>
              <w:rPr>
                <w:rFonts w:hint="eastAsia" w:ascii="宋体" w:hAnsi="宋体" w:eastAsia="宋体" w:cs="宋体"/>
                <w:color w:val="auto"/>
                <w:kern w:val="0"/>
                <w:sz w:val="24"/>
                <w:szCs w:val="24"/>
                <w:lang w:val="en-US" w:eastAsia="zh-CN"/>
              </w:rPr>
              <w:t>平台建设业绩的，</w:t>
            </w:r>
            <w:r>
              <w:rPr>
                <w:rFonts w:hint="eastAsia" w:ascii="宋体" w:hAnsi="宋体" w:eastAsia="宋体" w:cs="宋体"/>
                <w:color w:val="auto"/>
                <w:sz w:val="24"/>
                <w:szCs w:val="24"/>
              </w:rPr>
              <w:t>每个业绩得</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分，满分</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p w14:paraId="12732975">
            <w:pPr>
              <w:pageBreakBefore w:val="0"/>
              <w:widowControl/>
              <w:kinsoku/>
              <w:wordWrap/>
              <w:overflowPunct/>
              <w:topLinePunct w:val="0"/>
              <w:bidi w:val="0"/>
              <w:spacing w:line="360" w:lineRule="auto"/>
              <w:jc w:val="left"/>
              <w:rPr>
                <w:rFonts w:hint="eastAsia" w:ascii="宋体" w:hAnsi="宋体" w:eastAsia="宋体" w:cs="宋体"/>
                <w:b/>
                <w:bCs/>
                <w:color w:val="auto"/>
                <w:kern w:val="0"/>
                <w:sz w:val="24"/>
                <w:szCs w:val="24"/>
              </w:rPr>
            </w:pPr>
            <w:r>
              <w:rPr>
                <w:rFonts w:hint="eastAsia" w:ascii="宋体" w:hAnsi="宋体" w:eastAsia="宋体" w:cs="宋体"/>
                <w:b/>
                <w:bCs/>
                <w:color w:val="auto"/>
                <w:sz w:val="24"/>
                <w:szCs w:val="24"/>
                <w:lang w:eastAsia="zh-CN"/>
              </w:rPr>
              <w:t>注：（</w:t>
            </w:r>
            <w:r>
              <w:rPr>
                <w:rFonts w:hint="eastAsia" w:ascii="宋体" w:hAnsi="宋体" w:eastAsia="宋体" w:cs="宋体"/>
                <w:b/>
                <w:bCs/>
                <w:color w:val="auto"/>
                <w:sz w:val="24"/>
                <w:szCs w:val="24"/>
                <w:lang w:val="en-US" w:eastAsia="zh-CN"/>
              </w:rPr>
              <w:t>1</w:t>
            </w:r>
            <w:r>
              <w:rPr>
                <w:rFonts w:hint="eastAsia" w:ascii="宋体" w:hAnsi="宋体" w:eastAsia="宋体" w:cs="宋体"/>
                <w:b/>
                <w:bCs/>
                <w:color w:val="auto"/>
                <w:sz w:val="24"/>
                <w:szCs w:val="24"/>
                <w:lang w:eastAsia="zh-CN"/>
              </w:rPr>
              <w:t>）响应文件</w:t>
            </w:r>
            <w:r>
              <w:rPr>
                <w:rFonts w:hint="eastAsia" w:ascii="宋体" w:hAnsi="宋体" w:eastAsia="宋体" w:cs="宋体"/>
                <w:b/>
                <w:bCs/>
                <w:color w:val="auto"/>
                <w:sz w:val="24"/>
                <w:szCs w:val="24"/>
              </w:rPr>
              <w:t>中提供业绩合同（或</w:t>
            </w:r>
            <w:r>
              <w:rPr>
                <w:rFonts w:hint="eastAsia" w:ascii="宋体" w:hAnsi="宋体" w:eastAsia="宋体" w:cs="宋体"/>
                <w:b/>
                <w:bCs/>
                <w:color w:val="auto"/>
                <w:sz w:val="24"/>
                <w:szCs w:val="24"/>
                <w:lang w:val="en-US" w:eastAsia="zh-CN"/>
              </w:rPr>
              <w:t>合作</w:t>
            </w:r>
            <w:r>
              <w:rPr>
                <w:rFonts w:hint="eastAsia" w:ascii="宋体" w:hAnsi="宋体" w:eastAsia="宋体" w:cs="宋体"/>
                <w:b/>
                <w:bCs/>
                <w:color w:val="auto"/>
                <w:sz w:val="24"/>
                <w:szCs w:val="24"/>
              </w:rPr>
              <w:t>协议）扫描件，若无法体现服务内容等评审因素的，须另提供业主单位（合同甲方）出具的证明材料扫描件</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否则不予认可</w:t>
            </w:r>
            <w:r>
              <w:rPr>
                <w:rFonts w:hint="eastAsia" w:ascii="宋体" w:hAnsi="宋体" w:eastAsia="宋体" w:cs="宋体"/>
                <w:b/>
                <w:bCs/>
                <w:color w:val="auto"/>
                <w:sz w:val="24"/>
                <w:szCs w:val="24"/>
              </w:rPr>
              <w:t>。</w:t>
            </w:r>
          </w:p>
          <w:p w14:paraId="6D1CA78E">
            <w:pPr>
              <w:keepNext w:val="0"/>
              <w:keepLines w:val="0"/>
              <w:pageBreakBefore w:val="0"/>
              <w:widowControl/>
              <w:suppressLineNumbers w:val="0"/>
              <w:kinsoku/>
              <w:wordWrap/>
              <w:overflowPunct/>
              <w:topLinePunct w:val="0"/>
              <w:bidi w:val="0"/>
              <w:spacing w:line="360" w:lineRule="auto"/>
              <w:jc w:val="left"/>
              <w:rPr>
                <w:rFonts w:hint="eastAsia" w:ascii="宋体" w:hAnsi="宋体" w:eastAsia="宋体" w:cs="宋体"/>
                <w:b/>
                <w:bCs/>
                <w:color w:val="auto"/>
                <w:sz w:val="24"/>
                <w:szCs w:val="24"/>
              </w:rPr>
            </w:pP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lang w:val="en-US" w:eastAsia="zh-CN"/>
              </w:rPr>
              <w:t>2</w:t>
            </w:r>
            <w:r>
              <w:rPr>
                <w:rFonts w:hint="eastAsia" w:ascii="宋体" w:hAnsi="宋体" w:eastAsia="宋体" w:cs="宋体"/>
                <w:b/>
                <w:bCs/>
                <w:color w:val="auto"/>
                <w:kern w:val="0"/>
                <w:sz w:val="24"/>
                <w:szCs w:val="24"/>
                <w:lang w:eastAsia="zh-CN"/>
              </w:rPr>
              <w:t>）</w:t>
            </w:r>
            <w:r>
              <w:rPr>
                <w:rFonts w:hint="eastAsia" w:ascii="宋体" w:hAnsi="宋体" w:eastAsia="宋体" w:cs="宋体"/>
                <w:b/>
                <w:bCs/>
                <w:color w:val="auto"/>
                <w:kern w:val="0"/>
                <w:sz w:val="24"/>
                <w:szCs w:val="24"/>
              </w:rPr>
              <w:t>同一业主单位（同校名但非同一招生代码学校的视为不同业主单位）的多个业绩不重复计分</w:t>
            </w:r>
            <w:r>
              <w:rPr>
                <w:rFonts w:hint="eastAsia" w:ascii="宋体" w:hAnsi="宋体" w:eastAsia="宋体" w:cs="宋体"/>
                <w:b/>
                <w:bCs/>
                <w:color w:val="auto"/>
                <w:sz w:val="24"/>
                <w:szCs w:val="24"/>
              </w:rPr>
              <w:t>。</w:t>
            </w:r>
          </w:p>
          <w:p w14:paraId="41FBE2B2">
            <w:pPr>
              <w:keepNext w:val="0"/>
              <w:keepLines w:val="0"/>
              <w:pageBreakBefore w:val="0"/>
              <w:widowControl/>
              <w:suppressLineNumbers w:val="0"/>
              <w:kinsoku/>
              <w:wordWrap/>
              <w:overflowPunct/>
              <w:topLinePunct w:val="0"/>
              <w:bidi w:val="0"/>
              <w:spacing w:line="360" w:lineRule="auto"/>
              <w:jc w:val="left"/>
              <w:rPr>
                <w:rFonts w:hint="eastAsia" w:eastAsia="宋体"/>
                <w:lang w:eastAsia="zh-CN"/>
              </w:rPr>
            </w:pP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w:t>
            </w:r>
            <w:r>
              <w:rPr>
                <w:rFonts w:hint="eastAsia" w:ascii="宋体" w:hAnsi="宋体" w:eastAsia="宋体" w:cs="宋体"/>
                <w:b/>
                <w:bCs/>
                <w:color w:val="auto"/>
                <w:sz w:val="24"/>
                <w:szCs w:val="24"/>
                <w:lang w:val="en-US" w:eastAsia="zh-CN"/>
              </w:rPr>
              <w:t>正</w:t>
            </w:r>
            <w:r>
              <w:rPr>
                <w:rFonts w:hint="eastAsia" w:ascii="宋体" w:hAnsi="宋体" w:eastAsia="宋体" w:cs="宋体"/>
                <w:b/>
                <w:bCs/>
                <w:color w:val="auto"/>
                <w:sz w:val="24"/>
                <w:szCs w:val="24"/>
              </w:rPr>
              <w:t>在履约或已履约完毕</w:t>
            </w:r>
            <w:r>
              <w:rPr>
                <w:rFonts w:hint="eastAsia" w:ascii="宋体" w:hAnsi="宋体" w:eastAsia="宋体" w:cs="宋体"/>
                <w:b/>
                <w:bCs/>
                <w:color w:val="auto"/>
                <w:sz w:val="24"/>
                <w:szCs w:val="24"/>
                <w:lang w:val="en-US" w:eastAsia="zh-CN"/>
              </w:rPr>
              <w:t>的</w:t>
            </w:r>
            <w:r>
              <w:rPr>
                <w:rFonts w:hint="eastAsia" w:ascii="宋体" w:hAnsi="宋体" w:eastAsia="宋体" w:cs="宋体"/>
                <w:b/>
                <w:bCs/>
                <w:color w:val="auto"/>
                <w:sz w:val="24"/>
                <w:szCs w:val="24"/>
              </w:rPr>
              <w:t>业绩均予认可</w:t>
            </w:r>
            <w:r>
              <w:rPr>
                <w:rFonts w:hint="eastAsia" w:ascii="宋体" w:hAnsi="宋体" w:eastAsia="宋体" w:cs="宋体"/>
                <w:b/>
                <w:bCs/>
                <w:color w:val="auto"/>
                <w:sz w:val="24"/>
                <w:szCs w:val="24"/>
                <w:lang w:eastAsia="zh-CN"/>
              </w:rPr>
              <w:t>。</w:t>
            </w:r>
          </w:p>
          <w:p w14:paraId="62CEC66A">
            <w:pPr>
              <w:keepNext w:val="0"/>
              <w:keepLines w:val="0"/>
              <w:pageBreakBefore w:val="0"/>
              <w:widowControl/>
              <w:suppressLineNumbers w:val="0"/>
              <w:kinsoku/>
              <w:wordWrap/>
              <w:overflowPunct/>
              <w:topLinePunct w:val="0"/>
              <w:bidi w:val="0"/>
              <w:spacing w:line="360" w:lineRule="auto"/>
              <w:jc w:val="left"/>
            </w:pPr>
            <w:r>
              <w:rPr>
                <w:rFonts w:hint="eastAsia" w:ascii="宋体" w:hAnsi="宋体" w:eastAsia="宋体" w:cs="宋体"/>
                <w:color w:val="000000"/>
                <w:kern w:val="0"/>
                <w:sz w:val="24"/>
                <w:szCs w:val="24"/>
                <w:lang w:val="en-US" w:eastAsia="zh-CN" w:bidi="ar"/>
              </w:rPr>
              <w:t>2、</w:t>
            </w:r>
            <w:r>
              <w:rPr>
                <w:rFonts w:hint="eastAsia" w:ascii="宋体" w:hAnsi="宋体" w:eastAsia="宋体" w:cs="宋体"/>
                <w:color w:val="auto"/>
                <w:kern w:val="0"/>
                <w:sz w:val="24"/>
                <w:szCs w:val="24"/>
              </w:rPr>
              <w:t>自</w:t>
            </w:r>
            <w:r>
              <w:rPr>
                <w:rFonts w:hint="eastAsia" w:ascii="宋体" w:hAnsi="宋体" w:eastAsia="宋体" w:cs="宋体"/>
                <w:color w:val="auto"/>
                <w:kern w:val="0"/>
                <w:sz w:val="24"/>
                <w:szCs w:val="24"/>
                <w:lang w:val="en-US" w:eastAsia="zh-CN"/>
              </w:rPr>
              <w:t>2021</w:t>
            </w:r>
            <w:r>
              <w:rPr>
                <w:rFonts w:hint="eastAsia" w:ascii="宋体" w:hAnsi="宋体" w:eastAsia="宋体" w:cs="宋体"/>
                <w:color w:val="auto"/>
                <w:kern w:val="0"/>
                <w:sz w:val="24"/>
                <w:szCs w:val="24"/>
              </w:rPr>
              <w:t>年</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月</w:t>
            </w:r>
            <w:r>
              <w:rPr>
                <w:rFonts w:hint="eastAsia" w:ascii="宋体" w:hAnsi="宋体" w:eastAsia="宋体" w:cs="宋体"/>
                <w:color w:val="auto"/>
                <w:kern w:val="0"/>
                <w:sz w:val="24"/>
                <w:szCs w:val="24"/>
                <w:lang w:val="en-US" w:eastAsia="zh-CN"/>
              </w:rPr>
              <w:t>1</w:t>
            </w:r>
            <w:r>
              <w:rPr>
                <w:rFonts w:hint="eastAsia" w:ascii="宋体" w:hAnsi="宋体" w:eastAsia="宋体" w:cs="宋体"/>
                <w:color w:val="auto"/>
                <w:kern w:val="0"/>
                <w:sz w:val="24"/>
                <w:szCs w:val="24"/>
              </w:rPr>
              <w:t>日以来（以合同签订时间为准），</w:t>
            </w:r>
            <w:r>
              <w:rPr>
                <w:rFonts w:hint="eastAsia" w:ascii="宋体" w:hAnsi="宋体" w:eastAsia="宋体" w:cs="宋体"/>
                <w:color w:val="000000"/>
                <w:kern w:val="0"/>
                <w:sz w:val="24"/>
                <w:szCs w:val="24"/>
                <w:lang w:val="en-US" w:eastAsia="zh-CN" w:bidi="ar"/>
              </w:rPr>
              <w:t>供应商</w:t>
            </w:r>
            <w:r>
              <w:rPr>
                <w:rFonts w:hint="eastAsia" w:ascii="宋体" w:hAnsi="宋体" w:eastAsia="宋体" w:cs="宋体"/>
                <w:color w:val="auto"/>
                <w:sz w:val="24"/>
                <w:szCs w:val="24"/>
              </w:rPr>
              <w:t>具有</w:t>
            </w:r>
            <w:r>
              <w:rPr>
                <w:rFonts w:hint="eastAsia" w:ascii="宋体" w:hAnsi="宋体" w:eastAsia="宋体" w:cs="宋体"/>
                <w:color w:val="auto"/>
                <w:sz w:val="24"/>
                <w:szCs w:val="24"/>
                <w:lang w:val="en-US" w:eastAsia="zh-CN"/>
              </w:rPr>
              <w:t>校友服务</w:t>
            </w:r>
            <w:r>
              <w:rPr>
                <w:rFonts w:hint="eastAsia" w:ascii="宋体" w:hAnsi="宋体" w:eastAsia="宋体" w:cs="宋体"/>
                <w:color w:val="auto"/>
                <w:kern w:val="0"/>
                <w:sz w:val="24"/>
                <w:szCs w:val="24"/>
                <w:lang w:val="en-US" w:eastAsia="zh-CN"/>
              </w:rPr>
              <w:t>平台</w:t>
            </w:r>
            <w:r>
              <w:rPr>
                <w:rFonts w:hint="eastAsia" w:ascii="宋体" w:hAnsi="宋体" w:eastAsia="宋体" w:cs="宋体"/>
                <w:color w:val="000000"/>
                <w:kern w:val="0"/>
                <w:sz w:val="24"/>
                <w:szCs w:val="24"/>
                <w:lang w:val="en-US" w:eastAsia="zh-CN" w:bidi="ar"/>
              </w:rPr>
              <w:t xml:space="preserve">运维（或维护）项目业绩的，每提供一项业绩得 </w:t>
            </w:r>
            <w:r>
              <w:rPr>
                <w:rFonts w:hint="eastAsia" w:ascii="宋体" w:hAnsi="宋体" w:cs="宋体"/>
                <w:color w:val="000000"/>
                <w:kern w:val="0"/>
                <w:sz w:val="24"/>
                <w:szCs w:val="24"/>
                <w:lang w:val="en-US" w:eastAsia="zh-CN" w:bidi="ar"/>
              </w:rPr>
              <w:t>2</w:t>
            </w:r>
            <w:r>
              <w:rPr>
                <w:rFonts w:hint="eastAsia" w:ascii="宋体" w:hAnsi="宋体" w:eastAsia="宋体" w:cs="宋体"/>
                <w:color w:val="000000"/>
                <w:kern w:val="0"/>
                <w:sz w:val="24"/>
                <w:szCs w:val="24"/>
                <w:lang w:val="en-US" w:eastAsia="zh-CN" w:bidi="ar"/>
              </w:rPr>
              <w:t xml:space="preserve">分，最高得 </w:t>
            </w:r>
            <w:r>
              <w:rPr>
                <w:rFonts w:hint="eastAsia" w:ascii="宋体" w:hAnsi="宋体" w:cs="宋体"/>
                <w:color w:val="000000"/>
                <w:kern w:val="0"/>
                <w:sz w:val="24"/>
                <w:szCs w:val="24"/>
                <w:lang w:val="en-US" w:eastAsia="zh-CN" w:bidi="ar"/>
              </w:rPr>
              <w:t>6</w:t>
            </w:r>
            <w:r>
              <w:rPr>
                <w:rFonts w:hint="eastAsia" w:ascii="宋体" w:hAnsi="宋体" w:eastAsia="宋体" w:cs="宋体"/>
                <w:color w:val="000000"/>
                <w:kern w:val="0"/>
                <w:sz w:val="24"/>
                <w:szCs w:val="24"/>
                <w:lang w:val="en-US" w:eastAsia="zh-CN" w:bidi="ar"/>
              </w:rPr>
              <w:t xml:space="preserve">分。 </w:t>
            </w:r>
          </w:p>
          <w:p w14:paraId="23DB52E9">
            <w:pPr>
              <w:keepNext w:val="0"/>
              <w:keepLines w:val="0"/>
              <w:pageBreakBefore w:val="0"/>
              <w:widowControl/>
              <w:suppressLineNumbers w:val="0"/>
              <w:kinsoku/>
              <w:wordWrap/>
              <w:overflowPunct/>
              <w:topLinePunct w:val="0"/>
              <w:bidi w:val="0"/>
              <w:spacing w:line="360" w:lineRule="auto"/>
              <w:jc w:val="left"/>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注：（1）响应文件中提供业绩合同以及验收合格证明扫描件，如合同或验收合格证明无法体现项目内容、项目类型等内容，须另附业主单位盖章的证明材料，否则不得分。</w:t>
            </w:r>
          </w:p>
          <w:p w14:paraId="4C075E53">
            <w:pPr>
              <w:keepNext w:val="0"/>
              <w:keepLines w:val="0"/>
              <w:pageBreakBefore w:val="0"/>
              <w:widowControl/>
              <w:suppressLineNumbers w:val="0"/>
              <w:kinsoku/>
              <w:wordWrap/>
              <w:overflowPunct/>
              <w:topLinePunct w:val="0"/>
              <w:bidi w:val="0"/>
              <w:spacing w:line="360" w:lineRule="auto"/>
              <w:jc w:val="left"/>
              <w:rPr>
                <w:rFonts w:hint="eastAsia" w:asciiTheme="minorEastAsia" w:hAnsiTheme="minorEastAsia" w:eastAsiaTheme="minorEastAsia" w:cstheme="minorEastAsia"/>
                <w:bCs/>
                <w:strike w:val="0"/>
                <w:dstrike/>
                <w:color w:val="auto"/>
                <w:kern w:val="2"/>
                <w:sz w:val="24"/>
                <w:highlight w:val="yellow"/>
                <w:lang w:val="en-US" w:eastAsia="zh-CN" w:bidi="ar-SA"/>
              </w:rPr>
            </w:pPr>
            <w:r>
              <w:rPr>
                <w:rFonts w:hint="eastAsia" w:ascii="宋体" w:hAnsi="宋体" w:eastAsia="宋体" w:cs="宋体"/>
                <w:b/>
                <w:bCs/>
                <w:color w:val="000000"/>
                <w:kern w:val="0"/>
                <w:sz w:val="24"/>
                <w:szCs w:val="24"/>
                <w:lang w:val="en-US" w:eastAsia="zh-CN" w:bidi="ar"/>
              </w:rPr>
              <w:t>（2）单项业绩如同时满足上述1-2项中多项条件的，不重复计分，只计分一次。</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BB780F4">
            <w:pPr>
              <w:pageBreakBefore w:val="0"/>
              <w:kinsoku/>
              <w:wordWrap/>
              <w:overflowPunct/>
              <w:topLinePunct w:val="0"/>
              <w:bidi w:val="0"/>
              <w:spacing w:line="360" w:lineRule="auto"/>
              <w:jc w:val="center"/>
              <w:rPr>
                <w:rFonts w:hint="default" w:cs="@仿宋_GB2312" w:asciiTheme="minorEastAsia" w:hAnsiTheme="minorEastAsia" w:eastAsiaTheme="minorEastAsia"/>
                <w:b/>
                <w:bCs/>
                <w:color w:val="auto"/>
                <w:kern w:val="2"/>
                <w:sz w:val="24"/>
                <w:lang w:val="en-US" w:eastAsia="zh-CN" w:bidi="ar-SA"/>
              </w:rPr>
            </w:pPr>
            <w:r>
              <w:rPr>
                <w:rFonts w:hint="eastAsia" w:ascii="宋体" w:hAnsi="宋体" w:eastAsia="宋体" w:cs="宋体"/>
                <w:color w:val="auto"/>
                <w:sz w:val="24"/>
                <w:szCs w:val="24"/>
              </w:rPr>
              <w:t>0</w:t>
            </w:r>
            <w:r>
              <w:rPr>
                <w:rFonts w:ascii="宋体" w:hAnsi="宋体" w:eastAsia="宋体" w:cs="宋体"/>
                <w:color w:val="auto"/>
                <w:sz w:val="24"/>
                <w:szCs w:val="24"/>
              </w:rPr>
              <w:t>-</w:t>
            </w:r>
            <w:r>
              <w:rPr>
                <w:rFonts w:hint="eastAsia" w:ascii="宋体" w:hAnsi="宋体" w:eastAsia="宋体" w:cs="宋体"/>
                <w:color w:val="auto"/>
                <w:sz w:val="24"/>
                <w:szCs w:val="24"/>
                <w:lang w:val="en-US" w:eastAsia="zh-CN"/>
              </w:rPr>
              <w:t>15</w:t>
            </w:r>
            <w:r>
              <w:rPr>
                <w:rFonts w:hint="eastAsia" w:ascii="宋体" w:hAnsi="宋体" w:eastAsia="宋体" w:cs="宋体"/>
                <w:color w:val="auto"/>
                <w:sz w:val="24"/>
                <w:szCs w:val="24"/>
              </w:rPr>
              <w:t>分</w:t>
            </w:r>
          </w:p>
        </w:tc>
      </w:tr>
      <w:tr w14:paraId="0A3B9B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left w:val="single" w:color="auto" w:sz="4" w:space="0"/>
              <w:right w:val="single" w:color="auto" w:sz="4" w:space="0"/>
            </w:tcBorders>
            <w:vAlign w:val="center"/>
          </w:tcPr>
          <w:p w14:paraId="75FCC482">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6C008849">
            <w:pPr>
              <w:pageBreakBefore w:val="0"/>
              <w:kinsoku/>
              <w:wordWrap/>
              <w:overflowPunct/>
              <w:topLinePunct w:val="0"/>
              <w:bidi w:val="0"/>
              <w:spacing w:line="360" w:lineRule="auto"/>
              <w:rPr>
                <w:rFonts w:hint="eastAsia" w:ascii="宋体" w:hAnsi="宋体" w:eastAsia="宋体" w:cs="宋体"/>
                <w:color w:val="auto"/>
                <w:kern w:val="2"/>
                <w:sz w:val="24"/>
                <w:szCs w:val="24"/>
                <w:lang w:val="en-US" w:eastAsia="zh-CN" w:bidi="ar-SA"/>
              </w:rPr>
            </w:pPr>
            <w:r>
              <w:rPr>
                <w:rFonts w:hint="eastAsia" w:asciiTheme="minorEastAsia" w:hAnsiTheme="minorEastAsia" w:eastAsiaTheme="minorEastAsia" w:cstheme="minorEastAsia"/>
                <w:sz w:val="24"/>
                <w:szCs w:val="24"/>
                <w:lang w:val="en-US" w:eastAsia="zh-CN"/>
              </w:rPr>
              <w:t>体系认证</w:t>
            </w:r>
          </w:p>
        </w:tc>
        <w:tc>
          <w:tcPr>
            <w:tcW w:w="6055" w:type="dxa"/>
            <w:tcBorders>
              <w:top w:val="single" w:color="auto" w:sz="4" w:space="0"/>
              <w:left w:val="single" w:color="auto" w:sz="4" w:space="0"/>
              <w:bottom w:val="single" w:color="auto" w:sz="4" w:space="0"/>
              <w:right w:val="single" w:color="auto" w:sz="4" w:space="0"/>
            </w:tcBorders>
            <w:shd w:val="clear" w:color="auto" w:fill="auto"/>
            <w:vAlign w:val="center"/>
          </w:tcPr>
          <w:p w14:paraId="3713A6F8">
            <w:pPr>
              <w:keepNext w:val="0"/>
              <w:keepLines w:val="0"/>
              <w:pageBreakBefore w:val="0"/>
              <w:widowControl/>
              <w:suppressLineNumbers w:val="0"/>
              <w:kinsoku/>
              <w:wordWrap/>
              <w:overflowPunct/>
              <w:topLinePunct w:val="0"/>
              <w:bidi w:val="0"/>
              <w:spacing w:line="360" w:lineRule="auto"/>
              <w:jc w:val="left"/>
              <w:rPr>
                <w:rFonts w:hint="eastAsia" w:ascii="宋体" w:hAnsi="宋体" w:eastAsia="宋体" w:cs="宋体"/>
                <w:color w:val="000000"/>
                <w:kern w:val="0"/>
                <w:sz w:val="24"/>
                <w:szCs w:val="24"/>
                <w:lang w:val="en-US" w:eastAsia="zh-CN" w:bidi="ar"/>
              </w:rPr>
            </w:pPr>
            <w:r>
              <w:rPr>
                <w:rFonts w:hint="eastAsia" w:ascii="宋体" w:hAnsi="宋体" w:eastAsia="宋体" w:cs="宋体"/>
                <w:color w:val="000000"/>
                <w:kern w:val="0"/>
                <w:sz w:val="24"/>
                <w:szCs w:val="24"/>
                <w:lang w:val="en-US" w:eastAsia="zh-CN" w:bidi="ar"/>
              </w:rPr>
              <w:t>供应商具有中国国家认证认可监督管理委员会认证机构颁发的有效期内的信息安全管理体系认证、信息技术服务管理体系认证，每提供1项认证得1分，满分2分。</w:t>
            </w:r>
          </w:p>
          <w:p w14:paraId="266B9845">
            <w:pPr>
              <w:keepNext w:val="0"/>
              <w:keepLines w:val="0"/>
              <w:pageBreakBefore w:val="0"/>
              <w:widowControl/>
              <w:suppressLineNumbers w:val="0"/>
              <w:kinsoku/>
              <w:wordWrap/>
              <w:overflowPunct/>
              <w:topLinePunct w:val="0"/>
              <w:bidi w:val="0"/>
              <w:spacing w:line="360" w:lineRule="auto"/>
              <w:jc w:val="left"/>
              <w:rPr>
                <w:rFonts w:hint="eastAsia" w:ascii="宋体" w:hAnsi="宋体" w:eastAsia="宋体" w:cs="Times New Roman"/>
                <w:color w:val="auto"/>
                <w:kern w:val="2"/>
                <w:sz w:val="24"/>
                <w:szCs w:val="24"/>
                <w:lang w:val="en-US" w:eastAsia="zh-CN" w:bidi="ar-SA"/>
              </w:rPr>
            </w:pPr>
            <w:r>
              <w:rPr>
                <w:rFonts w:hint="eastAsia" w:ascii="宋体" w:hAnsi="宋体" w:eastAsia="宋体" w:cs="宋体"/>
                <w:b/>
                <w:bCs/>
                <w:color w:val="000000"/>
                <w:kern w:val="0"/>
                <w:sz w:val="24"/>
                <w:szCs w:val="24"/>
                <w:lang w:val="en-US" w:eastAsia="zh-CN" w:bidi="ar"/>
              </w:rPr>
              <w:t>注：响应文件中提供全国认证认可信息公共服务平台网站认证信息查询截图。</w:t>
            </w:r>
            <w:r>
              <w:rPr>
                <w:rFonts w:hint="eastAsia" w:ascii="宋体" w:hAnsi="宋体" w:eastAsia="宋体" w:cs="宋体"/>
                <w:color w:val="000000"/>
                <w:kern w:val="0"/>
                <w:sz w:val="24"/>
                <w:szCs w:val="24"/>
                <w:lang w:val="en-US" w:eastAsia="zh-CN" w:bidi="ar"/>
              </w:rPr>
              <w:t xml:space="preserve"> </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2C56F8BA">
            <w:pPr>
              <w:pageBreakBefore w:val="0"/>
              <w:kinsoku/>
              <w:wordWrap/>
              <w:overflowPunct/>
              <w:topLinePunct w:val="0"/>
              <w:bidi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分</w:t>
            </w:r>
          </w:p>
        </w:tc>
      </w:tr>
      <w:tr w14:paraId="341BA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left w:val="single" w:color="auto" w:sz="4" w:space="0"/>
              <w:right w:val="single" w:color="auto" w:sz="4" w:space="0"/>
            </w:tcBorders>
            <w:vAlign w:val="center"/>
          </w:tcPr>
          <w:p w14:paraId="4465A5C2">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43582E48">
            <w:pPr>
              <w:pageBreakBefore w:val="0"/>
              <w:kinsoku/>
              <w:wordWrap/>
              <w:overflowPunct/>
              <w:topLinePunct w:val="0"/>
              <w:bidi w:val="0"/>
              <w:spacing w:line="360" w:lineRule="auto"/>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计</w:t>
            </w:r>
            <w:r>
              <w:rPr>
                <w:rFonts w:hint="eastAsia" w:asciiTheme="minorEastAsia" w:hAnsiTheme="minorEastAsia" w:eastAsiaTheme="minorEastAsia" w:cstheme="minorEastAsia"/>
                <w:sz w:val="24"/>
                <w:szCs w:val="24"/>
              </w:rPr>
              <w:t>算机软件著作权登记证书</w:t>
            </w:r>
          </w:p>
        </w:tc>
        <w:tc>
          <w:tcPr>
            <w:tcW w:w="6055" w:type="dxa"/>
            <w:tcBorders>
              <w:top w:val="single" w:color="auto" w:sz="4" w:space="0"/>
              <w:left w:val="single" w:color="auto" w:sz="4" w:space="0"/>
              <w:bottom w:val="single" w:color="auto" w:sz="4" w:space="0"/>
              <w:right w:val="single" w:color="auto" w:sz="4" w:space="0"/>
            </w:tcBorders>
            <w:shd w:val="clear" w:color="auto" w:fill="auto"/>
            <w:vAlign w:val="center"/>
          </w:tcPr>
          <w:p w14:paraId="1C684632">
            <w:pPr>
              <w:keepNext w:val="0"/>
              <w:keepLines w:val="0"/>
              <w:pageBreakBefore w:val="0"/>
              <w:widowControl/>
              <w:suppressLineNumbers w:val="0"/>
              <w:kinsoku/>
              <w:wordWrap/>
              <w:overflowPunct/>
              <w:topLinePunct w:val="0"/>
              <w:bidi w:val="0"/>
              <w:spacing w:line="360" w:lineRule="auto"/>
              <w:jc w:val="left"/>
            </w:pPr>
            <w:r>
              <w:rPr>
                <w:rFonts w:hint="eastAsia" w:ascii="宋体" w:hAnsi="宋体" w:eastAsia="宋体" w:cs="宋体"/>
                <w:color w:val="000000"/>
                <w:kern w:val="0"/>
                <w:sz w:val="24"/>
                <w:szCs w:val="24"/>
                <w:lang w:val="en-US" w:eastAsia="zh-CN" w:bidi="ar"/>
              </w:rPr>
              <w:t>供应商</w:t>
            </w:r>
            <w:r>
              <w:rPr>
                <w:rFonts w:hint="eastAsia" w:asciiTheme="minorEastAsia" w:hAnsiTheme="minorEastAsia" w:eastAsiaTheme="minorEastAsia" w:cstheme="minorEastAsia"/>
                <w:sz w:val="24"/>
                <w:szCs w:val="24"/>
                <w:lang w:val="en-US" w:eastAsia="zh-CN"/>
              </w:rPr>
              <w:t>具有</w:t>
            </w:r>
            <w:r>
              <w:rPr>
                <w:rFonts w:hint="eastAsia" w:asciiTheme="minorEastAsia" w:hAnsiTheme="minorEastAsia" w:eastAsiaTheme="minorEastAsia" w:cstheme="minorEastAsia"/>
                <w:sz w:val="24"/>
                <w:szCs w:val="24"/>
              </w:rPr>
              <w:t>有效期内</w:t>
            </w:r>
            <w:r>
              <w:rPr>
                <w:rFonts w:hint="eastAsia" w:asciiTheme="minorEastAsia" w:hAnsiTheme="minorEastAsia" w:eastAsiaTheme="minorEastAsia" w:cstheme="minorEastAsia"/>
                <w:sz w:val="24"/>
                <w:szCs w:val="24"/>
                <w:lang w:val="en-US" w:eastAsia="zh-CN"/>
              </w:rPr>
              <w:t>校友校友会智慧融合类、校友会数字基座管理类、票据管理类、捐方管理类</w:t>
            </w:r>
            <w:r>
              <w:rPr>
                <w:rFonts w:hint="eastAsia" w:asciiTheme="minorEastAsia" w:hAnsiTheme="minorEastAsia" w:eastAsiaTheme="minorEastAsia" w:cstheme="minorEastAsia"/>
                <w:sz w:val="24"/>
                <w:szCs w:val="24"/>
              </w:rPr>
              <w:t>计算机软件著作权登记证书，每</w:t>
            </w:r>
            <w:r>
              <w:rPr>
                <w:rFonts w:hint="eastAsia" w:asciiTheme="minorEastAsia" w:hAnsiTheme="minorEastAsia" w:eastAsiaTheme="minorEastAsia" w:cstheme="minorEastAsia"/>
                <w:sz w:val="24"/>
                <w:szCs w:val="24"/>
                <w:lang w:val="en-US" w:eastAsia="zh-CN"/>
              </w:rPr>
              <w:t>具有一类</w:t>
            </w:r>
            <w:r>
              <w:rPr>
                <w:rFonts w:hint="eastAsia" w:asciiTheme="minorEastAsia" w:hAnsiTheme="minorEastAsia" w:eastAsiaTheme="minorEastAsia" w:cstheme="minorEastAsia"/>
                <w:sz w:val="24"/>
                <w:szCs w:val="24"/>
              </w:rPr>
              <w:t>得</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分，最高得</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分。</w:t>
            </w:r>
          </w:p>
          <w:p w14:paraId="58EE8CA3">
            <w:pPr>
              <w:pageBreakBefore w:val="0"/>
              <w:widowControl/>
              <w:kinsoku/>
              <w:wordWrap/>
              <w:overflowPunct/>
              <w:topLinePunct w:val="0"/>
              <w:bidi w:val="0"/>
              <w:spacing w:line="360" w:lineRule="auto"/>
              <w:jc w:val="both"/>
              <w:rPr>
                <w:rFonts w:hint="eastAsia" w:ascii="宋体" w:hAnsi="宋体" w:eastAsia="宋体" w:cs="宋体"/>
                <w:b/>
                <w:bCs/>
                <w:color w:val="000000"/>
                <w:kern w:val="0"/>
                <w:sz w:val="24"/>
                <w:szCs w:val="24"/>
                <w:lang w:val="en-US" w:eastAsia="zh-CN" w:bidi="ar"/>
              </w:rPr>
            </w:pPr>
            <w:r>
              <w:rPr>
                <w:rFonts w:hint="eastAsia" w:ascii="宋体" w:hAnsi="宋体" w:eastAsia="宋体" w:cs="宋体"/>
                <w:b/>
                <w:bCs/>
                <w:color w:val="000000"/>
                <w:kern w:val="0"/>
                <w:sz w:val="24"/>
                <w:szCs w:val="24"/>
                <w:lang w:val="en-US" w:eastAsia="zh-CN" w:bidi="ar"/>
              </w:rPr>
              <w:t>注：响应文件中提供证书扫描件。</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DF4C7A4">
            <w:pPr>
              <w:pageBreakBefore w:val="0"/>
              <w:kinsoku/>
              <w:wordWrap/>
              <w:overflowPunct/>
              <w:topLinePunct w:val="0"/>
              <w:bidi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4</w:t>
            </w:r>
            <w:r>
              <w:rPr>
                <w:rFonts w:hint="eastAsia" w:ascii="宋体" w:hAnsi="宋体" w:eastAsia="宋体" w:cs="宋体"/>
                <w:color w:val="auto"/>
                <w:sz w:val="24"/>
                <w:szCs w:val="24"/>
              </w:rPr>
              <w:t>分</w:t>
            </w:r>
          </w:p>
        </w:tc>
      </w:tr>
      <w:tr w14:paraId="5553B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left w:val="single" w:color="auto" w:sz="4" w:space="0"/>
              <w:right w:val="single" w:color="auto" w:sz="4" w:space="0"/>
            </w:tcBorders>
            <w:vAlign w:val="center"/>
          </w:tcPr>
          <w:p w14:paraId="1C82DB37">
            <w:pPr>
              <w:spacing w:line="360" w:lineRule="auto"/>
              <w:jc w:val="center"/>
              <w:rPr>
                <w:rFonts w:hint="eastAsia" w:asciiTheme="minorEastAsia" w:hAnsiTheme="minorEastAsia" w:eastAsiaTheme="minorEastAsia"/>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2144CF09">
            <w:pPr>
              <w:pageBreakBefore w:val="0"/>
              <w:kinsoku/>
              <w:wordWrap/>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拟派团队综合评价</w:t>
            </w:r>
          </w:p>
        </w:tc>
        <w:tc>
          <w:tcPr>
            <w:tcW w:w="6055" w:type="dxa"/>
            <w:tcBorders>
              <w:top w:val="single" w:color="auto" w:sz="4" w:space="0"/>
              <w:left w:val="single" w:color="auto" w:sz="4" w:space="0"/>
              <w:bottom w:val="single" w:color="auto" w:sz="4" w:space="0"/>
              <w:right w:val="single" w:color="auto" w:sz="4" w:space="0"/>
            </w:tcBorders>
            <w:shd w:val="clear" w:color="auto" w:fill="auto"/>
            <w:vAlign w:val="center"/>
          </w:tcPr>
          <w:p w14:paraId="777F8CFB">
            <w:pPr>
              <w:keepNext w:val="0"/>
              <w:keepLines w:val="0"/>
              <w:pageBreakBefore w:val="0"/>
              <w:widowControl/>
              <w:numPr>
                <w:ilvl w:val="0"/>
                <w:numId w:val="0"/>
              </w:numPr>
              <w:suppressLineNumbers w:val="0"/>
              <w:kinsoku/>
              <w:wordWrap/>
              <w:overflowPunct/>
              <w:topLinePunct w:val="0"/>
              <w:bidi w:val="0"/>
              <w:spacing w:line="360" w:lineRule="auto"/>
              <w:jc w:val="left"/>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rPr>
              <w:t>供应商拟为本项目配备的</w:t>
            </w:r>
            <w:r>
              <w:rPr>
                <w:rFonts w:hint="eastAsia" w:asciiTheme="minorEastAsia" w:hAnsiTheme="minorEastAsia" w:eastAsiaTheme="minorEastAsia" w:cstheme="minorEastAsia"/>
                <w:bCs/>
                <w:color w:val="000000"/>
                <w:sz w:val="24"/>
                <w:szCs w:val="24"/>
                <w:lang w:eastAsia="zh-CN"/>
              </w:rPr>
              <w:t>：</w:t>
            </w:r>
          </w:p>
          <w:p w14:paraId="599E8CDA">
            <w:pPr>
              <w:keepNext w:val="0"/>
              <w:keepLines w:val="0"/>
              <w:pageBreakBefore w:val="0"/>
              <w:widowControl/>
              <w:numPr>
                <w:ilvl w:val="0"/>
                <w:numId w:val="0"/>
              </w:numPr>
              <w:suppressLineNumbers w:val="0"/>
              <w:kinsoku/>
              <w:wordWrap/>
              <w:overflowPunct/>
              <w:topLinePunct w:val="0"/>
              <w:bidi w:val="0"/>
              <w:spacing w:line="360" w:lineRule="auto"/>
              <w:jc w:val="left"/>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val="en-US" w:eastAsia="zh-CN"/>
              </w:rPr>
              <w:t>1、</w:t>
            </w:r>
            <w:r>
              <w:rPr>
                <w:rFonts w:hint="eastAsia" w:asciiTheme="minorEastAsia" w:hAnsiTheme="minorEastAsia" w:eastAsiaTheme="minorEastAsia" w:cstheme="minorEastAsia"/>
                <w:bCs/>
                <w:color w:val="000000"/>
                <w:sz w:val="24"/>
                <w:szCs w:val="24"/>
              </w:rPr>
              <w:t>项目</w:t>
            </w:r>
            <w:r>
              <w:rPr>
                <w:rFonts w:hint="eastAsia" w:asciiTheme="minorEastAsia" w:hAnsiTheme="minorEastAsia" w:eastAsiaTheme="minorEastAsia" w:cstheme="minorEastAsia"/>
                <w:bCs/>
                <w:color w:val="000000"/>
                <w:sz w:val="24"/>
                <w:szCs w:val="24"/>
                <w:lang w:val="en-US" w:eastAsia="zh-CN"/>
              </w:rPr>
              <w:t>负责人（1人）：</w:t>
            </w:r>
          </w:p>
          <w:p w14:paraId="1052CC50">
            <w:pPr>
              <w:keepNext w:val="0"/>
              <w:keepLines w:val="0"/>
              <w:pageBreakBefore w:val="0"/>
              <w:widowControl/>
              <w:numPr>
                <w:ilvl w:val="0"/>
                <w:numId w:val="0"/>
              </w:numPr>
              <w:suppressLineNumbers w:val="0"/>
              <w:kinsoku/>
              <w:wordWrap/>
              <w:overflowPunct/>
              <w:topLinePunct w:val="0"/>
              <w:bidi w:val="0"/>
              <w:spacing w:line="360" w:lineRule="auto"/>
              <w:jc w:val="left"/>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1</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rPr>
              <w:t>具有校友信息化平台建设工作</w:t>
            </w:r>
            <w:r>
              <w:rPr>
                <w:rFonts w:hint="eastAsia" w:asciiTheme="minorEastAsia" w:hAnsiTheme="minorEastAsia" w:eastAsiaTheme="minorEastAsia" w:cstheme="minorEastAsia"/>
                <w:bCs/>
                <w:color w:val="000000"/>
                <w:sz w:val="24"/>
                <w:szCs w:val="24"/>
                <w:lang w:val="en-US" w:eastAsia="zh-CN"/>
              </w:rPr>
              <w:t>业绩</w:t>
            </w:r>
            <w:r>
              <w:rPr>
                <w:rFonts w:hint="eastAsia" w:asciiTheme="minorEastAsia" w:hAnsiTheme="minorEastAsia" w:eastAsiaTheme="minorEastAsia" w:cstheme="minorEastAsia"/>
                <w:bCs/>
                <w:color w:val="000000"/>
                <w:sz w:val="24"/>
                <w:szCs w:val="24"/>
              </w:rPr>
              <w:t>，</w:t>
            </w:r>
            <w:r>
              <w:rPr>
                <w:rFonts w:hint="eastAsia" w:asciiTheme="minorEastAsia" w:hAnsiTheme="minorEastAsia" w:eastAsiaTheme="minorEastAsia" w:cstheme="minorEastAsia"/>
                <w:bCs/>
                <w:color w:val="000000"/>
                <w:sz w:val="24"/>
                <w:szCs w:val="24"/>
                <w:lang w:val="en-US" w:eastAsia="zh-CN"/>
              </w:rPr>
              <w:t>每个业绩得1分，满分3分；</w:t>
            </w:r>
          </w:p>
          <w:p w14:paraId="24A2F245">
            <w:pPr>
              <w:keepNext w:val="0"/>
              <w:keepLines w:val="0"/>
              <w:widowControl/>
              <w:numPr>
                <w:ilvl w:val="0"/>
                <w:numId w:val="0"/>
              </w:numPr>
              <w:spacing w:line="360" w:lineRule="auto"/>
              <w:jc w:val="left"/>
              <w:rPr>
                <w:rFonts w:hint="eastAsia"/>
                <w:lang w:val="en-US" w:eastAsia="zh-CN"/>
              </w:rPr>
            </w:pPr>
            <w:r>
              <w:rPr>
                <w:rFonts w:hint="eastAsia" w:asciiTheme="minorEastAsia" w:hAnsiTheme="minorEastAsia" w:eastAsiaTheme="minorEastAsia" w:cstheme="minorEastAsia"/>
                <w:b w:val="0"/>
                <w:bCs/>
                <w:color w:val="000000"/>
                <w:kern w:val="2"/>
                <w:sz w:val="24"/>
                <w:szCs w:val="24"/>
                <w:lang w:val="en-US" w:eastAsia="zh-CN" w:bidi="ar-SA"/>
              </w:rPr>
              <w:t>（2）具有计算机相关专业高级及以上职称证书，得3分，满分3分。</w:t>
            </w:r>
          </w:p>
          <w:p w14:paraId="5E7916C5">
            <w:pPr>
              <w:keepNext w:val="0"/>
              <w:keepLines w:val="0"/>
              <w:pageBreakBefore w:val="0"/>
              <w:widowControl/>
              <w:numPr>
                <w:ilvl w:val="0"/>
                <w:numId w:val="0"/>
              </w:numPr>
              <w:suppressLineNumbers w:val="0"/>
              <w:kinsoku/>
              <w:wordWrap/>
              <w:overflowPunct/>
              <w:topLinePunct w:val="0"/>
              <w:bidi w:val="0"/>
              <w:spacing w:line="360" w:lineRule="auto"/>
              <w:jc w:val="left"/>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bCs/>
                <w:color w:val="000000"/>
                <w:sz w:val="24"/>
                <w:szCs w:val="24"/>
                <w:lang w:val="en-US" w:eastAsia="zh-CN"/>
              </w:rPr>
              <w:t>2、</w:t>
            </w:r>
            <w:r>
              <w:rPr>
                <w:rFonts w:hint="eastAsia" w:asciiTheme="minorEastAsia" w:hAnsiTheme="minorEastAsia" w:eastAsiaTheme="minorEastAsia" w:cstheme="minorEastAsia"/>
                <w:color w:val="000000"/>
                <w:kern w:val="0"/>
                <w:sz w:val="24"/>
                <w:szCs w:val="24"/>
                <w:lang w:bidi="ar"/>
              </w:rPr>
              <w:t>项目实施服务团队成员（除项目</w:t>
            </w:r>
            <w:r>
              <w:rPr>
                <w:rFonts w:hint="eastAsia" w:asciiTheme="minorEastAsia" w:hAnsiTheme="minorEastAsia" w:eastAsiaTheme="minorEastAsia" w:cstheme="minorEastAsia"/>
                <w:bCs/>
                <w:color w:val="000000"/>
                <w:sz w:val="24"/>
                <w:szCs w:val="24"/>
                <w:lang w:val="en-US" w:eastAsia="zh-CN"/>
              </w:rPr>
              <w:t>负责人</w:t>
            </w:r>
            <w:r>
              <w:rPr>
                <w:rFonts w:hint="eastAsia" w:asciiTheme="minorEastAsia" w:hAnsiTheme="minorEastAsia" w:eastAsiaTheme="minorEastAsia" w:cstheme="minorEastAsia"/>
                <w:bCs/>
                <w:color w:val="000000"/>
                <w:sz w:val="24"/>
                <w:szCs w:val="24"/>
              </w:rPr>
              <w:t>外）</w:t>
            </w:r>
            <w:r>
              <w:rPr>
                <w:rFonts w:hint="eastAsia" w:asciiTheme="minorEastAsia" w:hAnsiTheme="minorEastAsia" w:eastAsiaTheme="minorEastAsia" w:cstheme="minorEastAsia"/>
                <w:bCs/>
                <w:color w:val="000000"/>
                <w:sz w:val="24"/>
                <w:szCs w:val="24"/>
                <w:lang w:eastAsia="zh-CN"/>
              </w:rPr>
              <w:t>：</w:t>
            </w:r>
          </w:p>
          <w:p w14:paraId="4379A2BF">
            <w:pPr>
              <w:keepNext w:val="0"/>
              <w:keepLines w:val="0"/>
              <w:pageBreakBefore w:val="0"/>
              <w:widowControl/>
              <w:numPr>
                <w:ilvl w:val="0"/>
                <w:numId w:val="0"/>
              </w:numPr>
              <w:suppressLineNumbers w:val="0"/>
              <w:kinsoku/>
              <w:wordWrap/>
              <w:overflowPunct/>
              <w:topLinePunct w:val="0"/>
              <w:bidi w:val="0"/>
              <w:spacing w:line="360" w:lineRule="auto"/>
              <w:jc w:val="left"/>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具有</w:t>
            </w:r>
            <w:r>
              <w:rPr>
                <w:rFonts w:hint="eastAsia" w:asciiTheme="minorEastAsia" w:hAnsiTheme="minorEastAsia" w:eastAsiaTheme="minorEastAsia" w:cstheme="minorEastAsia"/>
                <w:bCs/>
                <w:color w:val="000000"/>
                <w:sz w:val="24"/>
                <w:szCs w:val="24"/>
              </w:rPr>
              <w:t>信息系统项目管理师、系统规划与管理师</w:t>
            </w:r>
            <w:r>
              <w:rPr>
                <w:rFonts w:hint="eastAsia" w:asciiTheme="minorEastAsia" w:hAnsiTheme="minorEastAsia" w:eastAsiaTheme="minorEastAsia" w:cstheme="minorEastAsia"/>
                <w:bCs/>
                <w:color w:val="000000"/>
                <w:sz w:val="24"/>
                <w:szCs w:val="24"/>
                <w:lang w:eastAsia="zh-CN"/>
              </w:rPr>
              <w:t>、系统集成项目管理工程师</w:t>
            </w:r>
            <w:r>
              <w:rPr>
                <w:rFonts w:hint="eastAsia" w:asciiTheme="minorEastAsia" w:hAnsiTheme="minorEastAsia" w:eastAsiaTheme="minorEastAsia" w:cstheme="minorEastAsia"/>
                <w:bCs/>
                <w:color w:val="000000"/>
                <w:sz w:val="24"/>
                <w:szCs w:val="24"/>
                <w:lang w:val="en-US" w:eastAsia="zh-CN"/>
              </w:rPr>
              <w:t>证书的，每具有1个</w:t>
            </w:r>
            <w:r>
              <w:rPr>
                <w:rFonts w:hint="eastAsia" w:asciiTheme="minorEastAsia" w:hAnsiTheme="minorEastAsia" w:eastAsiaTheme="minorEastAsia" w:cstheme="minorEastAsia"/>
                <w:bCs/>
                <w:color w:val="000000"/>
                <w:sz w:val="24"/>
                <w:szCs w:val="24"/>
              </w:rPr>
              <w:t>得</w:t>
            </w:r>
            <w:r>
              <w:rPr>
                <w:rFonts w:hint="eastAsia" w:asciiTheme="minorEastAsia" w:hAnsiTheme="minorEastAsia" w:eastAsiaTheme="minorEastAsia" w:cstheme="minorEastAsia"/>
                <w:bCs/>
                <w:color w:val="000000"/>
                <w:sz w:val="24"/>
                <w:szCs w:val="24"/>
                <w:lang w:val="en-US" w:eastAsia="zh-CN"/>
              </w:rPr>
              <w:t>1</w:t>
            </w:r>
            <w:r>
              <w:rPr>
                <w:rFonts w:hint="eastAsia" w:asciiTheme="minorEastAsia" w:hAnsiTheme="minorEastAsia" w:eastAsiaTheme="minorEastAsia" w:cstheme="minorEastAsia"/>
                <w:bCs/>
                <w:color w:val="000000"/>
                <w:sz w:val="24"/>
                <w:szCs w:val="24"/>
              </w:rPr>
              <w:t>分</w:t>
            </w:r>
            <w:r>
              <w:rPr>
                <w:rFonts w:hint="eastAsia" w:asciiTheme="minorEastAsia" w:hAnsiTheme="minorEastAsia" w:eastAsiaTheme="minorEastAsia" w:cstheme="minorEastAsia"/>
                <w:bCs/>
                <w:color w:val="000000"/>
                <w:sz w:val="24"/>
                <w:szCs w:val="24"/>
                <w:lang w:eastAsia="zh-CN"/>
              </w:rPr>
              <w:t>，</w:t>
            </w:r>
            <w:r>
              <w:rPr>
                <w:rFonts w:hint="eastAsia" w:asciiTheme="minorEastAsia" w:hAnsiTheme="minorEastAsia" w:eastAsiaTheme="minorEastAsia" w:cstheme="minorEastAsia"/>
                <w:bCs/>
                <w:color w:val="000000"/>
                <w:sz w:val="24"/>
                <w:szCs w:val="24"/>
                <w:lang w:val="en-US" w:eastAsia="zh-CN"/>
              </w:rPr>
              <w:t>满分3分。</w:t>
            </w:r>
          </w:p>
          <w:p w14:paraId="78F50058">
            <w:pPr>
              <w:keepNext w:val="0"/>
              <w:keepLines w:val="0"/>
              <w:pageBreakBefore w:val="0"/>
              <w:widowControl/>
              <w:numPr>
                <w:ilvl w:val="0"/>
                <w:numId w:val="0"/>
              </w:numPr>
              <w:suppressLineNumbers w:val="0"/>
              <w:kinsoku/>
              <w:wordWrap/>
              <w:overflowPunct/>
              <w:topLinePunct w:val="0"/>
              <w:bidi w:val="0"/>
              <w:spacing w:line="360" w:lineRule="auto"/>
              <w:jc w:val="left"/>
              <w:rPr>
                <w:rFonts w:hint="default" w:asciiTheme="minorEastAsia" w:hAnsiTheme="minorEastAsia" w:eastAsiaTheme="minorEastAsia" w:cstheme="minorEastAsia"/>
                <w:b/>
                <w:bCs w:val="0"/>
                <w:color w:val="000000"/>
                <w:sz w:val="24"/>
                <w:szCs w:val="24"/>
                <w:lang w:val="en-US" w:eastAsia="zh-CN"/>
              </w:rPr>
            </w:pPr>
            <w:r>
              <w:rPr>
                <w:rFonts w:hint="default" w:asciiTheme="minorEastAsia" w:hAnsiTheme="minorEastAsia" w:eastAsiaTheme="minorEastAsia" w:cstheme="minorEastAsia"/>
                <w:b/>
                <w:bCs w:val="0"/>
                <w:color w:val="000000"/>
                <w:sz w:val="24"/>
                <w:szCs w:val="24"/>
                <w:lang w:val="en-US" w:eastAsia="zh-CN"/>
              </w:rPr>
              <w:t>注：</w:t>
            </w:r>
            <w:r>
              <w:rPr>
                <w:rFonts w:hint="eastAsia" w:asciiTheme="minorEastAsia" w:hAnsiTheme="minorEastAsia" w:eastAsiaTheme="minorEastAsia" w:cstheme="minorEastAsia"/>
                <w:b/>
                <w:bCs w:val="0"/>
                <w:color w:val="000000"/>
                <w:sz w:val="24"/>
                <w:szCs w:val="24"/>
                <w:lang w:val="en-US" w:eastAsia="zh-CN"/>
              </w:rPr>
              <w:t>1、响应文件</w:t>
            </w:r>
            <w:r>
              <w:rPr>
                <w:rFonts w:hint="default" w:asciiTheme="minorEastAsia" w:hAnsiTheme="minorEastAsia" w:eastAsiaTheme="minorEastAsia" w:cstheme="minorEastAsia"/>
                <w:b/>
                <w:bCs w:val="0"/>
                <w:color w:val="000000"/>
                <w:sz w:val="24"/>
                <w:szCs w:val="24"/>
                <w:lang w:val="en-US" w:eastAsia="zh-CN"/>
              </w:rPr>
              <w:t>中提供</w:t>
            </w:r>
            <w:r>
              <w:rPr>
                <w:rFonts w:hint="eastAsia" w:asciiTheme="minorEastAsia" w:hAnsiTheme="minorEastAsia" w:eastAsiaTheme="minorEastAsia" w:cstheme="minorEastAsia"/>
                <w:b/>
                <w:bCs w:val="0"/>
                <w:color w:val="000000"/>
                <w:sz w:val="24"/>
                <w:szCs w:val="24"/>
                <w:lang w:val="en-US" w:eastAsia="zh-CN"/>
              </w:rPr>
              <w:t>上述人员名单</w:t>
            </w:r>
            <w:r>
              <w:rPr>
                <w:rFonts w:hint="default" w:asciiTheme="minorEastAsia" w:hAnsiTheme="minorEastAsia" w:eastAsiaTheme="minorEastAsia" w:cstheme="minorEastAsia"/>
                <w:b/>
                <w:bCs w:val="0"/>
                <w:color w:val="000000"/>
                <w:sz w:val="24"/>
                <w:szCs w:val="24"/>
                <w:lang w:val="en-US" w:eastAsia="zh-CN"/>
              </w:rPr>
              <w:t>及</w:t>
            </w:r>
            <w:r>
              <w:rPr>
                <w:rFonts w:hint="eastAsia" w:asciiTheme="minorEastAsia" w:hAnsiTheme="minorEastAsia" w:eastAsiaTheme="minorEastAsia" w:cstheme="minorEastAsia"/>
                <w:b/>
                <w:bCs w:val="0"/>
                <w:color w:val="000000"/>
                <w:sz w:val="24"/>
                <w:szCs w:val="24"/>
                <w:lang w:val="en-US" w:eastAsia="zh-CN"/>
              </w:rPr>
              <w:t>供应商</w:t>
            </w:r>
            <w:r>
              <w:rPr>
                <w:rFonts w:hint="default" w:asciiTheme="minorEastAsia" w:hAnsiTheme="minorEastAsia" w:eastAsiaTheme="minorEastAsia" w:cstheme="minorEastAsia"/>
                <w:b/>
                <w:bCs w:val="0"/>
                <w:color w:val="000000"/>
                <w:sz w:val="24"/>
                <w:szCs w:val="24"/>
                <w:lang w:val="en-US" w:eastAsia="zh-CN"/>
              </w:rPr>
              <w:t>为</w:t>
            </w:r>
            <w:r>
              <w:rPr>
                <w:rFonts w:hint="eastAsia" w:asciiTheme="minorEastAsia" w:hAnsiTheme="minorEastAsia" w:eastAsiaTheme="minorEastAsia" w:cstheme="minorEastAsia"/>
                <w:b/>
                <w:bCs w:val="0"/>
                <w:color w:val="000000"/>
                <w:sz w:val="24"/>
                <w:szCs w:val="24"/>
                <w:lang w:val="en-US" w:eastAsia="zh-CN"/>
              </w:rPr>
              <w:t>上述人员</w:t>
            </w:r>
            <w:r>
              <w:rPr>
                <w:rFonts w:hint="default" w:asciiTheme="minorEastAsia" w:hAnsiTheme="minorEastAsia" w:eastAsiaTheme="minorEastAsia" w:cstheme="minorEastAsia"/>
                <w:b/>
                <w:bCs w:val="0"/>
                <w:color w:val="000000"/>
                <w:sz w:val="24"/>
                <w:szCs w:val="24"/>
                <w:lang w:val="en-US" w:eastAsia="zh-CN"/>
              </w:rPr>
              <w:t>缴纳的近三个月内（其中任意一个月。</w:t>
            </w:r>
            <w:r>
              <w:rPr>
                <w:rFonts w:hint="eastAsia" w:asciiTheme="minorEastAsia" w:hAnsiTheme="minorEastAsia" w:eastAsiaTheme="minorEastAsia" w:cstheme="minorEastAsia"/>
                <w:b/>
                <w:bCs w:val="0"/>
                <w:color w:val="000000"/>
                <w:sz w:val="24"/>
                <w:szCs w:val="24"/>
                <w:lang w:val="en-US" w:eastAsia="zh-CN"/>
              </w:rPr>
              <w:t>供应商</w:t>
            </w:r>
            <w:r>
              <w:rPr>
                <w:rFonts w:hint="default" w:asciiTheme="minorEastAsia" w:hAnsiTheme="minorEastAsia" w:eastAsiaTheme="minorEastAsia" w:cstheme="minorEastAsia"/>
                <w:b/>
                <w:bCs w:val="0"/>
                <w:color w:val="000000"/>
                <w:sz w:val="24"/>
                <w:szCs w:val="24"/>
                <w:lang w:val="en-US" w:eastAsia="zh-CN"/>
              </w:rPr>
              <w:t>成立不足3个月的，提供任意1个月即可）的社保缴纳证明材料（社保形式详见</w:t>
            </w:r>
            <w:r>
              <w:rPr>
                <w:rFonts w:hint="eastAsia" w:asciiTheme="minorEastAsia" w:hAnsiTheme="minorEastAsia" w:eastAsiaTheme="minorEastAsia" w:cstheme="minorEastAsia"/>
                <w:b/>
                <w:bCs w:val="0"/>
                <w:color w:val="000000"/>
                <w:sz w:val="24"/>
                <w:szCs w:val="24"/>
                <w:lang w:val="en-US" w:eastAsia="zh-CN"/>
              </w:rPr>
              <w:t>供应商</w:t>
            </w:r>
            <w:r>
              <w:rPr>
                <w:rFonts w:hint="default" w:asciiTheme="minorEastAsia" w:hAnsiTheme="minorEastAsia" w:eastAsiaTheme="minorEastAsia" w:cstheme="minorEastAsia"/>
                <w:b/>
                <w:bCs w:val="0"/>
                <w:color w:val="000000"/>
                <w:sz w:val="24"/>
                <w:szCs w:val="24"/>
                <w:lang w:val="en-US" w:eastAsia="zh-CN"/>
              </w:rPr>
              <w:t>须知前附表）（提供任意五险之一的社保缴纳证明即可）。</w:t>
            </w:r>
          </w:p>
          <w:p w14:paraId="75A5591C">
            <w:pPr>
              <w:keepNext w:val="0"/>
              <w:keepLines w:val="0"/>
              <w:pageBreakBefore w:val="0"/>
              <w:widowControl/>
              <w:numPr>
                <w:ilvl w:val="0"/>
                <w:numId w:val="0"/>
              </w:numPr>
              <w:suppressLineNumbers w:val="0"/>
              <w:kinsoku/>
              <w:wordWrap/>
              <w:overflowPunct/>
              <w:topLinePunct w:val="0"/>
              <w:bidi w:val="0"/>
              <w:spacing w:line="360" w:lineRule="auto"/>
              <w:jc w:val="left"/>
              <w:rPr>
                <w:rFonts w:hint="eastAsia" w:asciiTheme="minorEastAsia" w:hAnsiTheme="minorEastAsia" w:eastAsiaTheme="minorEastAsia" w:cstheme="minorEastAsia"/>
                <w:b/>
                <w:bCs w:val="0"/>
                <w:color w:val="000000"/>
                <w:sz w:val="24"/>
                <w:szCs w:val="24"/>
                <w:lang w:val="en-US" w:eastAsia="zh-CN"/>
              </w:rPr>
            </w:pPr>
            <w:r>
              <w:rPr>
                <w:rFonts w:hint="eastAsia" w:asciiTheme="minorEastAsia" w:hAnsiTheme="minorEastAsia" w:eastAsiaTheme="minorEastAsia" w:cstheme="minorEastAsia"/>
                <w:b/>
                <w:bCs w:val="0"/>
                <w:color w:val="000000"/>
                <w:sz w:val="24"/>
                <w:szCs w:val="24"/>
                <w:lang w:val="en-US" w:eastAsia="zh-CN"/>
              </w:rPr>
              <w:t>2、涉及证书的，响应文件中提供证书扫描件。如一人多证，允许重复计分。</w:t>
            </w:r>
          </w:p>
          <w:p w14:paraId="48E7F384">
            <w:pPr>
              <w:keepNext w:val="0"/>
              <w:keepLines w:val="0"/>
              <w:pageBreakBefore w:val="0"/>
              <w:widowControl/>
              <w:numPr>
                <w:ilvl w:val="0"/>
                <w:numId w:val="0"/>
              </w:numPr>
              <w:suppressLineNumbers w:val="0"/>
              <w:kinsoku/>
              <w:wordWrap/>
              <w:overflowPunct/>
              <w:topLinePunct w:val="0"/>
              <w:bidi w:val="0"/>
              <w:spacing w:line="360" w:lineRule="auto"/>
              <w:ind w:left="0" w:leftChars="0" w:firstLine="0" w:firstLineChars="0"/>
              <w:jc w:val="left"/>
              <w:rPr>
                <w:rFonts w:hint="eastAsia" w:ascii="宋体" w:hAnsi="宋体" w:eastAsia="宋体" w:cs="Times New Roman"/>
                <w:color w:val="auto"/>
                <w:kern w:val="2"/>
                <w:sz w:val="24"/>
                <w:szCs w:val="24"/>
                <w:lang w:val="en-US" w:eastAsia="zh-CN" w:bidi="ar-SA"/>
              </w:rPr>
            </w:pPr>
            <w:r>
              <w:rPr>
                <w:rFonts w:hint="eastAsia" w:asciiTheme="minorEastAsia" w:hAnsiTheme="minorEastAsia" w:eastAsiaTheme="minorEastAsia" w:cstheme="minorEastAsia"/>
                <w:b/>
                <w:bCs w:val="0"/>
                <w:color w:val="000000"/>
                <w:sz w:val="24"/>
                <w:szCs w:val="24"/>
                <w:lang w:val="en-US" w:eastAsia="zh-CN"/>
              </w:rPr>
              <w:t>3、涉及业绩的，响应文件中提供业绩合同扫描件，如前述材料无法体现项目内容等评审内容，须另附业主单位证明材料（</w:t>
            </w:r>
            <w:r>
              <w:rPr>
                <w:rFonts w:hint="eastAsia" w:asciiTheme="minorEastAsia" w:hAnsiTheme="minorEastAsia" w:eastAsiaTheme="minorEastAsia" w:cstheme="minorEastAsia"/>
                <w:b/>
                <w:bCs w:val="0"/>
                <w:color w:val="000000"/>
                <w:sz w:val="24"/>
                <w:szCs w:val="24"/>
              </w:rPr>
              <w:t>加盖</w:t>
            </w:r>
            <w:r>
              <w:rPr>
                <w:rFonts w:hint="eastAsia" w:asciiTheme="minorEastAsia" w:hAnsiTheme="minorEastAsia" w:eastAsiaTheme="minorEastAsia" w:cstheme="minorEastAsia"/>
                <w:b/>
                <w:bCs w:val="0"/>
                <w:color w:val="000000"/>
                <w:sz w:val="24"/>
                <w:szCs w:val="24"/>
                <w:lang w:val="en-US" w:eastAsia="zh-CN"/>
              </w:rPr>
              <w:t>业主单位</w:t>
            </w:r>
            <w:r>
              <w:rPr>
                <w:rFonts w:hint="eastAsia" w:asciiTheme="minorEastAsia" w:hAnsiTheme="minorEastAsia" w:eastAsiaTheme="minorEastAsia" w:cstheme="minorEastAsia"/>
                <w:b/>
                <w:bCs w:val="0"/>
                <w:color w:val="000000"/>
                <w:sz w:val="24"/>
                <w:szCs w:val="24"/>
              </w:rPr>
              <w:t>公章</w:t>
            </w:r>
            <w:r>
              <w:rPr>
                <w:rFonts w:hint="eastAsia" w:asciiTheme="minorEastAsia" w:hAnsiTheme="minorEastAsia" w:eastAsiaTheme="minorEastAsia" w:cstheme="minorEastAsia"/>
                <w:b/>
                <w:bCs w:val="0"/>
                <w:color w:val="000000"/>
                <w:sz w:val="24"/>
                <w:szCs w:val="24"/>
                <w:lang w:val="en-US" w:eastAsia="zh-CN"/>
              </w:rPr>
              <w:t>），否则不得分。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351BC9EC">
            <w:pPr>
              <w:pageBreakBefore w:val="0"/>
              <w:kinsoku/>
              <w:wordWrap/>
              <w:overflowPunct/>
              <w:topLinePunct w:val="0"/>
              <w:bidi w:val="0"/>
              <w:spacing w:line="360" w:lineRule="auto"/>
              <w:jc w:val="center"/>
              <w:textAlignment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rPr>
              <w:t>0-</w:t>
            </w:r>
            <w:r>
              <w:rPr>
                <w:rFonts w:hint="eastAsia" w:ascii="宋体" w:hAnsi="宋体" w:eastAsia="宋体" w:cs="宋体"/>
                <w:color w:val="auto"/>
                <w:sz w:val="24"/>
                <w:szCs w:val="24"/>
                <w:lang w:val="en-US" w:eastAsia="zh-CN"/>
              </w:rPr>
              <w:t>9</w:t>
            </w:r>
            <w:r>
              <w:rPr>
                <w:rFonts w:hint="eastAsia" w:ascii="宋体" w:hAnsi="宋体" w:eastAsia="宋体" w:cs="宋体"/>
                <w:color w:val="auto"/>
                <w:sz w:val="24"/>
                <w:szCs w:val="24"/>
              </w:rPr>
              <w:t>分</w:t>
            </w:r>
          </w:p>
        </w:tc>
      </w:tr>
      <w:tr w14:paraId="680DA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left w:val="single" w:color="auto" w:sz="4" w:space="0"/>
              <w:right w:val="single" w:color="auto" w:sz="4" w:space="0"/>
            </w:tcBorders>
            <w:vAlign w:val="center"/>
          </w:tcPr>
          <w:p w14:paraId="2C8F882E">
            <w:pPr>
              <w:spacing w:line="360" w:lineRule="auto"/>
              <w:ind w:firstLine="435"/>
              <w:jc w:val="center"/>
              <w:rPr>
                <w:rFonts w:asciiTheme="minorEastAsia" w:hAnsiTheme="minorEastAsia" w:eastAsiaTheme="minorEastAsia"/>
                <w:b/>
                <w:bCs/>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04BC35AA">
            <w:pPr>
              <w:pageBreakBefore w:val="0"/>
              <w:kinsoku/>
              <w:wordWrap/>
              <w:overflowPunct/>
              <w:topLinePunct w:val="0"/>
              <w:bidi w:val="0"/>
              <w:spacing w:line="360" w:lineRule="auto"/>
              <w:jc w:val="center"/>
              <w:rPr>
                <w:rFonts w:hint="eastAsia" w:ascii="宋体" w:hAnsi="宋体" w:eastAsia="宋体" w:cs="宋体"/>
                <w:color w:val="auto"/>
                <w:kern w:val="2"/>
                <w:sz w:val="24"/>
                <w:lang w:val="en-US" w:eastAsia="zh-CN" w:bidi="ar-SA"/>
              </w:rPr>
            </w:pPr>
            <w:r>
              <w:rPr>
                <w:rFonts w:hint="eastAsia" w:asciiTheme="minorEastAsia" w:hAnsiTheme="minorEastAsia" w:eastAsiaTheme="minorEastAsia" w:cstheme="minorEastAsia"/>
                <w:sz w:val="24"/>
                <w:szCs w:val="24"/>
                <w:highlight w:val="none"/>
              </w:rPr>
              <w:t>技术方案</w:t>
            </w:r>
            <w:r>
              <w:rPr>
                <w:rFonts w:hint="eastAsia" w:asciiTheme="minorEastAsia" w:hAnsiTheme="minorEastAsia" w:eastAsiaTheme="minorEastAsia" w:cstheme="minorEastAsia"/>
                <w:sz w:val="24"/>
                <w:szCs w:val="24"/>
                <w:highlight w:val="none"/>
                <w:lang w:val="en-US" w:eastAsia="zh-CN"/>
              </w:rPr>
              <w:t>响应</w:t>
            </w:r>
          </w:p>
        </w:tc>
        <w:tc>
          <w:tcPr>
            <w:tcW w:w="6055" w:type="dxa"/>
            <w:tcBorders>
              <w:top w:val="single" w:color="auto" w:sz="4" w:space="0"/>
              <w:left w:val="single" w:color="auto" w:sz="4" w:space="0"/>
              <w:bottom w:val="single" w:color="auto" w:sz="4" w:space="0"/>
              <w:right w:val="single" w:color="auto" w:sz="4" w:space="0"/>
            </w:tcBorders>
            <w:shd w:val="clear" w:color="auto" w:fill="auto"/>
            <w:vAlign w:val="top"/>
          </w:tcPr>
          <w:p w14:paraId="464FEC88">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根据供应商对本项目“系统功能要求”及“技术要求”的响应情况包括但不限于对项目需求理解、总体建设思路、架构设计、关键技术设计、所投产品图片、技术参数、性能、特点等进行综合评分：</w:t>
            </w:r>
          </w:p>
          <w:p w14:paraId="0ECA1621">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1.方案详细，可行性高，完全满足项目要求，得4-5分；</w:t>
            </w:r>
          </w:p>
          <w:p w14:paraId="3ADCA545">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2.方案尚可，相对完善、可行，基本满足项目要求，得2-3分；</w:t>
            </w:r>
          </w:p>
          <w:p w14:paraId="3A13DE7D">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3.方案简单，针对性和可行性不强，部分重要功能无法满足，得1分; </w:t>
            </w:r>
          </w:p>
          <w:p w14:paraId="33029608">
            <w:pPr>
              <w:pageBreakBefore w:val="0"/>
              <w:widowControl/>
              <w:kinsoku/>
              <w:wordWrap/>
              <w:overflowPunct/>
              <w:topLinePunct w:val="0"/>
              <w:bidi w:val="0"/>
              <w:spacing w:line="360" w:lineRule="auto"/>
              <w:jc w:val="left"/>
              <w:textAlignment w:val="center"/>
              <w:rPr>
                <w:rFonts w:hint="eastAsia" w:ascii="@仿宋_GB2312" w:hAnsi="@仿宋_GB2312" w:eastAsia="@仿宋_GB2312" w:cs="@仿宋_GB2312"/>
                <w:color w:val="auto"/>
                <w:kern w:val="2"/>
                <w:sz w:val="21"/>
                <w:lang w:val="en-US" w:eastAsia="zh-CN" w:bidi="ar-SA"/>
              </w:rPr>
            </w:pPr>
            <w:r>
              <w:rPr>
                <w:rFonts w:hint="eastAsia" w:asciiTheme="minorEastAsia" w:hAnsiTheme="minorEastAsia" w:eastAsiaTheme="minorEastAsia" w:cstheme="minorEastAsia"/>
                <w:sz w:val="24"/>
                <w:szCs w:val="24"/>
                <w:highlight w:val="none"/>
                <w:lang w:val="en-US" w:eastAsia="zh-CN"/>
              </w:rPr>
              <w:t>4.未提供不得分</w:t>
            </w:r>
            <w:r>
              <w:rPr>
                <w:rFonts w:hint="eastAsia" w:ascii="宋体" w:hAnsi="宋体"/>
              </w:rPr>
              <w:t>。</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133A9A85">
            <w:pPr>
              <w:pageBreakBefore w:val="0"/>
              <w:kinsoku/>
              <w:wordWrap/>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0-5分</w:t>
            </w:r>
          </w:p>
        </w:tc>
      </w:tr>
      <w:tr w14:paraId="634ECB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left w:val="single" w:color="auto" w:sz="4" w:space="0"/>
              <w:right w:val="single" w:color="auto" w:sz="4" w:space="0"/>
            </w:tcBorders>
            <w:vAlign w:val="center"/>
          </w:tcPr>
          <w:p w14:paraId="60F9CABA">
            <w:pPr>
              <w:spacing w:line="360" w:lineRule="auto"/>
              <w:ind w:firstLine="435"/>
              <w:jc w:val="center"/>
              <w:rPr>
                <w:rFonts w:asciiTheme="minorEastAsia" w:hAnsiTheme="minorEastAsia" w:eastAsiaTheme="minorEastAsia"/>
                <w:b/>
                <w:bCs/>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05539A73">
            <w:pPr>
              <w:pageBreakBefore w:val="0"/>
              <w:kinsoku/>
              <w:wordWrap/>
              <w:overflowPunct/>
              <w:topLinePunct w:val="0"/>
              <w:bidi w:val="0"/>
              <w:spacing w:line="360" w:lineRule="auto"/>
              <w:jc w:val="center"/>
              <w:rPr>
                <w:rFonts w:hint="eastAsia" w:ascii="宋体" w:hAnsi="宋体" w:eastAsia="宋体" w:cs="宋体"/>
                <w:color w:val="auto"/>
                <w:kern w:val="2"/>
                <w:sz w:val="24"/>
                <w:lang w:val="en-US" w:eastAsia="zh-CN" w:bidi="ar-SA"/>
              </w:rPr>
            </w:pPr>
            <w:r>
              <w:rPr>
                <w:rFonts w:hint="eastAsia" w:asciiTheme="minorEastAsia" w:hAnsiTheme="minorEastAsia" w:eastAsiaTheme="minorEastAsia" w:cstheme="minorEastAsia"/>
                <w:kern w:val="0"/>
                <w:sz w:val="24"/>
                <w:szCs w:val="24"/>
              </w:rPr>
              <w:t>项目重点、难点分析</w:t>
            </w:r>
          </w:p>
        </w:tc>
        <w:tc>
          <w:tcPr>
            <w:tcW w:w="6055" w:type="dxa"/>
            <w:tcBorders>
              <w:top w:val="single" w:color="auto" w:sz="4" w:space="0"/>
              <w:left w:val="single" w:color="auto" w:sz="4" w:space="0"/>
              <w:bottom w:val="single" w:color="auto" w:sz="4" w:space="0"/>
              <w:right w:val="single" w:color="auto" w:sz="4" w:space="0"/>
            </w:tcBorders>
            <w:shd w:val="clear" w:color="auto" w:fill="auto"/>
            <w:vAlign w:val="top"/>
          </w:tcPr>
          <w:p w14:paraId="30169BF4">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根据供应商对本项目实施过程中存在的重点难点分析的合理性，以及对应的解决措施和方案的科学性和有效性情况。</w:t>
            </w:r>
          </w:p>
          <w:p w14:paraId="7F6A73D5">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1.方案详细，可行性高，完全满足项目要求，得4-5分；</w:t>
            </w:r>
          </w:p>
          <w:p w14:paraId="10FBED93">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2.方案尚可，相对完善、可行，基本满足项目要求，得2-3分；</w:t>
            </w:r>
          </w:p>
          <w:p w14:paraId="31E6AF5A">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3.方案简单，针对性和可行性不强，部分重要功能无法满足，得1分; </w:t>
            </w:r>
          </w:p>
          <w:p w14:paraId="78B32D29">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4.未提供不得分。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9331927">
            <w:pPr>
              <w:pageBreakBefore w:val="0"/>
              <w:kinsoku/>
              <w:wordWrap/>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0-5分</w:t>
            </w:r>
          </w:p>
        </w:tc>
      </w:tr>
      <w:tr w14:paraId="24EE2C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left w:val="single" w:color="auto" w:sz="4" w:space="0"/>
              <w:right w:val="single" w:color="auto" w:sz="4" w:space="0"/>
            </w:tcBorders>
            <w:vAlign w:val="center"/>
          </w:tcPr>
          <w:p w14:paraId="57BA2011">
            <w:pPr>
              <w:spacing w:line="360" w:lineRule="auto"/>
              <w:ind w:firstLine="435"/>
              <w:jc w:val="center"/>
              <w:rPr>
                <w:rFonts w:asciiTheme="minorEastAsia" w:hAnsiTheme="minorEastAsia" w:eastAsiaTheme="minorEastAsia"/>
                <w:b/>
                <w:bCs/>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511EFEEC">
            <w:pPr>
              <w:pageBreakBefore w:val="0"/>
              <w:kinsoku/>
              <w:wordWrap/>
              <w:overflowPunct/>
              <w:topLinePunct w:val="0"/>
              <w:bidi w:val="0"/>
              <w:spacing w:line="360" w:lineRule="auto"/>
              <w:jc w:val="center"/>
              <w:rPr>
                <w:rFonts w:hint="eastAsia" w:ascii="宋体" w:hAnsi="宋体" w:eastAsia="宋体" w:cs="宋体"/>
                <w:color w:val="auto"/>
                <w:kern w:val="2"/>
                <w:sz w:val="24"/>
                <w:lang w:val="en-US" w:eastAsia="zh-CN" w:bidi="ar-SA"/>
              </w:rPr>
            </w:pPr>
            <w:r>
              <w:rPr>
                <w:rFonts w:hint="eastAsia" w:asciiTheme="minorEastAsia" w:hAnsiTheme="minorEastAsia" w:eastAsiaTheme="minorEastAsia" w:cstheme="minorEastAsia"/>
                <w:sz w:val="24"/>
                <w:szCs w:val="24"/>
              </w:rPr>
              <w:t>实施方案</w:t>
            </w:r>
          </w:p>
        </w:tc>
        <w:tc>
          <w:tcPr>
            <w:tcW w:w="6055" w:type="dxa"/>
            <w:tcBorders>
              <w:top w:val="single" w:color="auto" w:sz="4" w:space="0"/>
              <w:left w:val="single" w:color="auto" w:sz="4" w:space="0"/>
              <w:bottom w:val="single" w:color="auto" w:sz="4" w:space="0"/>
              <w:right w:val="single" w:color="auto" w:sz="4" w:space="0"/>
            </w:tcBorders>
            <w:shd w:val="clear" w:color="auto" w:fill="auto"/>
            <w:vAlign w:val="top"/>
          </w:tcPr>
          <w:p w14:paraId="3FE24C4C">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w:t>
            </w:r>
            <w:r>
              <w:rPr>
                <w:rFonts w:hint="eastAsia" w:asciiTheme="minorEastAsia" w:hAnsiTheme="minorEastAsia" w:eastAsiaTheme="minorEastAsia" w:cstheme="minorEastAsia"/>
                <w:sz w:val="24"/>
                <w:szCs w:val="24"/>
              </w:rPr>
              <w:t>实施</w:t>
            </w:r>
            <w:r>
              <w:rPr>
                <w:rFonts w:hint="eastAsia" w:asciiTheme="minorEastAsia" w:hAnsiTheme="minorEastAsia" w:eastAsiaTheme="minorEastAsia" w:cstheme="minorEastAsia"/>
                <w:sz w:val="24"/>
                <w:szCs w:val="24"/>
                <w:highlight w:val="none"/>
                <w:lang w:val="en-US" w:eastAsia="zh-CN"/>
              </w:rPr>
              <w:t>方案内容进行综合评分，方案内容包含但不局限于人员配备及安排、建设进度计划及保证措施、安装调试程序、质量保证措施等：</w:t>
            </w:r>
          </w:p>
          <w:p w14:paraId="5498A336">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1.方案详细，可行性高，完全满足项目要求，得4-5分；</w:t>
            </w:r>
          </w:p>
          <w:p w14:paraId="69D1E7EC">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2.方案尚可，相对完善、可行，基本满足项目要求，得2-3分；</w:t>
            </w:r>
          </w:p>
          <w:p w14:paraId="10A96BE4">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3.方案简单，针对性和可行性不强，部分重要功能无法满足，得1分; </w:t>
            </w:r>
          </w:p>
          <w:p w14:paraId="3B064BCB">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4.未提供不得分。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940542B">
            <w:pPr>
              <w:pageBreakBefore w:val="0"/>
              <w:kinsoku/>
              <w:wordWrap/>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0-5分</w:t>
            </w:r>
          </w:p>
        </w:tc>
      </w:tr>
      <w:tr w14:paraId="23876F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left w:val="single" w:color="auto" w:sz="4" w:space="0"/>
              <w:right w:val="single" w:color="auto" w:sz="4" w:space="0"/>
            </w:tcBorders>
            <w:vAlign w:val="center"/>
          </w:tcPr>
          <w:p w14:paraId="23CEC66C">
            <w:pPr>
              <w:spacing w:line="360" w:lineRule="auto"/>
              <w:ind w:firstLine="435"/>
              <w:jc w:val="center"/>
              <w:rPr>
                <w:rFonts w:asciiTheme="minorEastAsia" w:hAnsiTheme="minorEastAsia" w:eastAsiaTheme="minorEastAsia"/>
                <w:b/>
                <w:bCs/>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2BD530BF">
            <w:pPr>
              <w:pageBreakBefore w:val="0"/>
              <w:kinsoku/>
              <w:wordWrap/>
              <w:overflowPunct/>
              <w:topLinePunct w:val="0"/>
              <w:bidi w:val="0"/>
              <w:spacing w:line="360" w:lineRule="auto"/>
              <w:jc w:val="center"/>
              <w:rPr>
                <w:rFonts w:hint="eastAsia" w:ascii="宋体" w:hAnsi="宋体" w:eastAsia="宋体" w:cs="宋体"/>
                <w:color w:val="auto"/>
                <w:kern w:val="2"/>
                <w:sz w:val="24"/>
                <w:lang w:val="en-US" w:eastAsia="zh-CN" w:bidi="ar-SA"/>
              </w:rPr>
            </w:pPr>
            <w:r>
              <w:rPr>
                <w:rFonts w:hint="eastAsia" w:asciiTheme="minorEastAsia" w:hAnsiTheme="minorEastAsia" w:eastAsiaTheme="minorEastAsia" w:cstheme="minorEastAsia"/>
                <w:sz w:val="24"/>
                <w:szCs w:val="24"/>
              </w:rPr>
              <w:t>培训计划</w:t>
            </w:r>
          </w:p>
        </w:tc>
        <w:tc>
          <w:tcPr>
            <w:tcW w:w="6055" w:type="dxa"/>
            <w:tcBorders>
              <w:top w:val="single" w:color="auto" w:sz="4" w:space="0"/>
              <w:left w:val="single" w:color="auto" w:sz="4" w:space="0"/>
              <w:bottom w:val="single" w:color="auto" w:sz="4" w:space="0"/>
              <w:right w:val="single" w:color="auto" w:sz="4" w:space="0"/>
            </w:tcBorders>
            <w:shd w:val="clear" w:color="auto" w:fill="auto"/>
            <w:vAlign w:val="top"/>
          </w:tcPr>
          <w:p w14:paraId="326852F6">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根据供应商所提出的培训计划，目标和培训内容，以及保证培训成效措施分综合评分：</w:t>
            </w:r>
          </w:p>
          <w:p w14:paraId="241A660E">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1.方案详细，可行性高，完全满足项目要求，得4-5分；</w:t>
            </w:r>
          </w:p>
          <w:p w14:paraId="772FDEB2">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2.方案尚可，相对完善、可行，基本满足项目要求，得2-3分；</w:t>
            </w:r>
          </w:p>
          <w:p w14:paraId="318F56AD">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3.方案简单，针对性和可行性不强，部分重要功能无法满足，得1分; </w:t>
            </w:r>
          </w:p>
          <w:p w14:paraId="2A67283A">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4.未提供不得分。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6689B8A4">
            <w:pPr>
              <w:pageBreakBefore w:val="0"/>
              <w:kinsoku/>
              <w:wordWrap/>
              <w:overflowPunct/>
              <w:topLinePunct w:val="0"/>
              <w:bidi w:val="0"/>
              <w:spacing w:line="360" w:lineRule="auto"/>
              <w:jc w:val="center"/>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0-5分</w:t>
            </w:r>
          </w:p>
        </w:tc>
      </w:tr>
      <w:tr w14:paraId="6812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left w:val="single" w:color="auto" w:sz="4" w:space="0"/>
              <w:right w:val="single" w:color="auto" w:sz="4" w:space="0"/>
            </w:tcBorders>
            <w:vAlign w:val="center"/>
          </w:tcPr>
          <w:p w14:paraId="3F63A4D4">
            <w:pPr>
              <w:spacing w:line="360" w:lineRule="auto"/>
              <w:ind w:firstLine="435"/>
              <w:jc w:val="center"/>
              <w:rPr>
                <w:rFonts w:asciiTheme="minorEastAsia" w:hAnsiTheme="minorEastAsia" w:eastAsiaTheme="minorEastAsia"/>
                <w:b/>
                <w:bCs/>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3FB9F0A1">
            <w:pPr>
              <w:pageBreakBefore w:val="0"/>
              <w:kinsoku/>
              <w:wordWrap/>
              <w:overflowPunct/>
              <w:topLinePunct w:val="0"/>
              <w:bidi w:val="0"/>
              <w:spacing w:line="360" w:lineRule="auto"/>
              <w:jc w:val="center"/>
              <w:rPr>
                <w:rFonts w:hint="eastAsia" w:ascii="宋体" w:hAnsi="宋体" w:eastAsia="宋体" w:cs="宋体"/>
                <w:color w:val="auto"/>
                <w:kern w:val="2"/>
                <w:sz w:val="24"/>
                <w:lang w:val="en-US" w:eastAsia="zh-CN" w:bidi="ar-SA"/>
              </w:rPr>
            </w:pPr>
            <w:r>
              <w:rPr>
                <w:rFonts w:hint="eastAsia" w:asciiTheme="minorEastAsia" w:hAnsiTheme="minorEastAsia" w:eastAsiaTheme="minorEastAsia" w:cstheme="minorEastAsia"/>
                <w:sz w:val="24"/>
                <w:szCs w:val="24"/>
              </w:rPr>
              <w:t>售后</w:t>
            </w:r>
            <w:r>
              <w:rPr>
                <w:rFonts w:hint="eastAsia" w:asciiTheme="minorEastAsia" w:hAnsiTheme="minorEastAsia" w:eastAsiaTheme="minorEastAsia" w:cstheme="minorEastAsia"/>
                <w:sz w:val="24"/>
                <w:szCs w:val="24"/>
                <w:lang w:val="en-US" w:eastAsia="zh-CN"/>
              </w:rPr>
              <w:t>服务方案</w:t>
            </w:r>
          </w:p>
        </w:tc>
        <w:tc>
          <w:tcPr>
            <w:tcW w:w="6055" w:type="dxa"/>
            <w:tcBorders>
              <w:top w:val="single" w:color="auto" w:sz="4" w:space="0"/>
              <w:left w:val="single" w:color="auto" w:sz="4" w:space="0"/>
              <w:bottom w:val="single" w:color="auto" w:sz="4" w:space="0"/>
              <w:right w:val="single" w:color="auto" w:sz="4" w:space="0"/>
            </w:tcBorders>
            <w:shd w:val="clear" w:color="auto" w:fill="auto"/>
            <w:vAlign w:val="top"/>
          </w:tcPr>
          <w:p w14:paraId="534A7960">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根据售后服务方案内容进行综合评分，包含但不限于服务流程、服务范围、服务内容、服务方式保障、本地化服务等进行综合评分：</w:t>
            </w:r>
          </w:p>
          <w:p w14:paraId="11BBC03B">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1.方案详细，可行性高，完全满足项目要求，得4-5分；</w:t>
            </w:r>
          </w:p>
          <w:p w14:paraId="096CE7DF">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2.方案尚可，相对完善、可行，基本满足项目要求，得2-3分；</w:t>
            </w:r>
          </w:p>
          <w:p w14:paraId="450DC576">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 xml:space="preserve">3.方案简单，针对性和可行性不强，部分重要功能无法满足，得1分; </w:t>
            </w:r>
          </w:p>
          <w:p w14:paraId="73BA50DC">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sz w:val="24"/>
                <w:szCs w:val="24"/>
                <w:highlight w:val="none"/>
                <w:lang w:val="en-US" w:eastAsia="zh-CN"/>
              </w:rPr>
              <w:t>4.未提供不得分。</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0AE95E20">
            <w:pPr>
              <w:pageBreakBefore w:val="0"/>
              <w:kinsoku/>
              <w:wordWrap/>
              <w:overflowPunct/>
              <w:topLinePunct w:val="0"/>
              <w:bidi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0-5分</w:t>
            </w:r>
          </w:p>
        </w:tc>
      </w:tr>
      <w:tr w14:paraId="0D39BB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vMerge w:val="continue"/>
            <w:tcBorders>
              <w:left w:val="single" w:color="auto" w:sz="4" w:space="0"/>
              <w:right w:val="single" w:color="auto" w:sz="4" w:space="0"/>
            </w:tcBorders>
            <w:vAlign w:val="center"/>
          </w:tcPr>
          <w:p w14:paraId="136367FB">
            <w:pPr>
              <w:spacing w:line="360" w:lineRule="auto"/>
              <w:ind w:firstLine="435"/>
              <w:jc w:val="center"/>
              <w:rPr>
                <w:rFonts w:asciiTheme="minorEastAsia" w:hAnsiTheme="minorEastAsia" w:eastAsiaTheme="minorEastAsia"/>
                <w:b/>
                <w:bCs/>
                <w:color w:val="000000" w:themeColor="text1"/>
                <w:sz w:val="24"/>
                <w14:textFill>
                  <w14:solidFill>
                    <w14:schemeClr w14:val="tx1"/>
                  </w14:solidFill>
                </w14:textFill>
              </w:rPr>
            </w:pPr>
          </w:p>
        </w:tc>
        <w:tc>
          <w:tcPr>
            <w:tcW w:w="995" w:type="dxa"/>
            <w:tcBorders>
              <w:top w:val="single" w:color="auto" w:sz="4" w:space="0"/>
              <w:left w:val="single" w:color="auto" w:sz="4" w:space="0"/>
              <w:bottom w:val="single" w:color="auto" w:sz="4" w:space="0"/>
              <w:right w:val="single" w:color="auto" w:sz="4" w:space="0"/>
            </w:tcBorders>
            <w:shd w:val="clear" w:color="auto" w:fill="auto"/>
            <w:vAlign w:val="center"/>
          </w:tcPr>
          <w:p w14:paraId="12C673B8">
            <w:pPr>
              <w:pageBreakBefore w:val="0"/>
              <w:kinsoku/>
              <w:wordWrap/>
              <w:overflowPunct/>
              <w:topLinePunct w:val="0"/>
              <w:bidi w:val="0"/>
              <w:spacing w:line="360" w:lineRule="auto"/>
              <w:jc w:val="center"/>
              <w:rPr>
                <w:rFonts w:hint="eastAsia" w:asciiTheme="minorEastAsia" w:hAnsiTheme="minorEastAsia" w:eastAsiaTheme="minorEastAsia" w:cstheme="minorEastAsia"/>
                <w:kern w:val="2"/>
                <w:sz w:val="24"/>
                <w:szCs w:val="24"/>
                <w:lang w:val="en-US" w:eastAsia="zh-CN" w:bidi="ar-SA"/>
              </w:rPr>
            </w:pPr>
            <w:r>
              <w:rPr>
                <w:rFonts w:hint="eastAsia" w:asciiTheme="minorEastAsia" w:hAnsiTheme="minorEastAsia" w:eastAsiaTheme="minorEastAsia" w:cstheme="minorEastAsia"/>
                <w:sz w:val="24"/>
                <w:szCs w:val="24"/>
                <w:lang w:val="en-US" w:eastAsia="zh-CN"/>
              </w:rPr>
              <w:t>功能演示</w:t>
            </w:r>
          </w:p>
        </w:tc>
        <w:tc>
          <w:tcPr>
            <w:tcW w:w="6055" w:type="dxa"/>
            <w:tcBorders>
              <w:top w:val="single" w:color="auto" w:sz="4" w:space="0"/>
              <w:left w:val="single" w:color="auto" w:sz="4" w:space="0"/>
              <w:bottom w:val="single" w:color="auto" w:sz="4" w:space="0"/>
              <w:right w:val="single" w:color="auto" w:sz="4" w:space="0"/>
            </w:tcBorders>
            <w:shd w:val="clear" w:color="auto" w:fill="auto"/>
            <w:vAlign w:val="top"/>
          </w:tcPr>
          <w:p w14:paraId="7523965D">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根据以下功能展示进行评分，满分30分：</w:t>
            </w:r>
          </w:p>
          <w:p w14:paraId="27767B93">
            <w:pPr>
              <w:pageBreakBefore w:val="0"/>
              <w:widowControl/>
              <w:kinsoku/>
              <w:wordWrap/>
              <w:overflowPunct/>
              <w:topLinePunct w:val="0"/>
              <w:bidi w:val="0"/>
              <w:spacing w:line="360" w:lineRule="auto"/>
              <w:jc w:val="left"/>
              <w:textAlignment w:val="center"/>
              <w:rPr>
                <w:rFonts w:hint="default" w:asciiTheme="minorEastAsia" w:hAnsiTheme="minorEastAsia" w:eastAsiaTheme="minorEastAsia" w:cstheme="minorEastAsia"/>
                <w:sz w:val="24"/>
                <w:szCs w:val="24"/>
                <w:highlight w:val="none"/>
                <w:lang w:val="en-US" w:eastAsia="zh-CN"/>
              </w:rPr>
            </w:pPr>
            <w:r>
              <w:rPr>
                <w:rFonts w:hint="eastAsia" w:asciiTheme="minorEastAsia" w:hAnsiTheme="minorEastAsia" w:eastAsiaTheme="minorEastAsia" w:cstheme="minorEastAsia"/>
                <w:sz w:val="24"/>
                <w:szCs w:val="24"/>
                <w:highlight w:val="none"/>
                <w:lang w:val="en-US" w:eastAsia="zh-CN"/>
              </w:rPr>
              <w:t>一、演示校友会智慧融合平台功能，支持快速进入首页和系统导航，主要功能包括校友信息管理、校友组织管理、校友活动管理、校友名册管理等界面展示；其中组织管理可查看所有组织当前理事会届别、理事人数、成员人数、活动数、照片数、留言数等；</w:t>
            </w:r>
            <w:r>
              <w:rPr>
                <w:rFonts w:hint="eastAsia" w:asciiTheme="minorEastAsia" w:hAnsiTheme="minorEastAsia" w:eastAsiaTheme="minorEastAsia" w:cstheme="minorEastAsia"/>
                <w:color w:val="auto"/>
                <w:sz w:val="24"/>
                <w:szCs w:val="24"/>
                <w:highlight w:val="none"/>
                <w:lang w:val="en-US" w:eastAsia="zh-CN"/>
              </w:rPr>
              <w:t>支持查看校友的关系管理，可查看所有和校友有关系的人物信息，比如同事、师生、夫妻等，支持基于人物关系生成人物关系图，包含校友学习经历、工作经历、人物动态等信息，除查看该校友的关系图外，还支持查看跟该校友有关人物的详细信息。</w:t>
            </w:r>
          </w:p>
          <w:p w14:paraId="0A113370">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二、演示</w:t>
            </w:r>
            <w:r>
              <w:rPr>
                <w:rFonts w:hint="eastAsia" w:asciiTheme="minorEastAsia" w:hAnsiTheme="minorEastAsia" w:eastAsiaTheme="minorEastAsia" w:cstheme="minorEastAsia"/>
                <w:b w:val="0"/>
                <w:bCs w:val="0"/>
                <w:color w:val="auto"/>
                <w:sz w:val="24"/>
                <w:szCs w:val="24"/>
                <w:lang w:val="en-US" w:eastAsia="zh-CN"/>
              </w:rPr>
              <w:t>活动管理</w:t>
            </w:r>
            <w:r>
              <w:rPr>
                <w:rFonts w:hint="eastAsia" w:asciiTheme="minorEastAsia" w:hAnsiTheme="minorEastAsia" w:eastAsiaTheme="minorEastAsia" w:cstheme="minorEastAsia"/>
                <w:sz w:val="24"/>
                <w:szCs w:val="24"/>
                <w:lang w:val="en-US" w:eastAsia="zh-CN"/>
              </w:rPr>
              <w:t>功能，活动发布者可在移动端校友服务平台查看活动报名人员，活动人员支持列表及表格方式展示，表格方式支持查看报名人员所有报名字段，支持将报名信息批量导出到活动发布者邮箱，其邮箱无需手动输入由系统自动获取；导出名单至少包括报名人姓名、手机、邮箱、学历信息、自定义填写字段信息、签到状态等。</w:t>
            </w:r>
          </w:p>
          <w:p w14:paraId="00F48A38">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三、演示重点校友信息服务，支持校友动态查询功能，用户可自定义增加关注校友，添加后，系统自动跟踪对应校友的动态，可查看动态的来源和详细信息，支持按动态价值度进校排序；演示重点校友信息，可查看本校相关校友信息，包括教育经历、工作经历、职务、校友个人照片等，系统自动给相关校友打标签，可基于关键字进行校友信息搜索查询。</w:t>
            </w:r>
          </w:p>
          <w:p w14:paraId="535980A9">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四、演示基金会到账管理功能，支持多种入账方式，至少支持手动入账、进账单导入、小额捐赠自动同步等；对于银行进账单导入，到账支持多个银行进账单导入并生成银行进账记录，至少支持中国银行、建设银行、招商银行的对账单直接导入，无需二次编辑。相关银行对账单需支持借/贷或来/往多条数据。</w:t>
            </w:r>
          </w:p>
          <w:p w14:paraId="6C47CBE3">
            <w:pPr>
              <w:pageBreakBefore w:val="0"/>
              <w:widowControl/>
              <w:kinsoku/>
              <w:wordWrap/>
              <w:overflowPunct/>
              <w:topLinePunct w:val="0"/>
              <w:bidi w:val="0"/>
              <w:spacing w:line="360" w:lineRule="auto"/>
              <w:jc w:val="left"/>
              <w:textAlignment w:val="center"/>
              <w:rPr>
                <w:rFonts w:hint="eastAsia"/>
                <w:lang w:val="en-US" w:eastAsia="zh-CN"/>
              </w:rPr>
            </w:pPr>
            <w:r>
              <w:rPr>
                <w:rFonts w:hint="eastAsia" w:asciiTheme="minorEastAsia" w:hAnsiTheme="minorEastAsia" w:eastAsiaTheme="minorEastAsia" w:cstheme="minorEastAsia"/>
                <w:b w:val="0"/>
                <w:bCs w:val="0"/>
                <w:color w:val="auto"/>
                <w:sz w:val="24"/>
                <w:szCs w:val="24"/>
                <w:lang w:val="en-US" w:eastAsia="zh-CN"/>
              </w:rPr>
              <w:t>五、</w:t>
            </w:r>
            <w:r>
              <w:rPr>
                <w:rFonts w:hint="eastAsia" w:asciiTheme="minorEastAsia" w:hAnsiTheme="minorEastAsia" w:eastAsiaTheme="minorEastAsia" w:cstheme="minorEastAsia"/>
                <w:b w:val="0"/>
                <w:bCs w:val="0"/>
                <w:sz w:val="24"/>
                <w:szCs w:val="24"/>
                <w:lang w:val="en-US" w:eastAsia="zh-CN"/>
              </w:rPr>
              <w:t>演示协议管理功能，可查看所有协议，包括协议名称、协议金额、到账金额、捐赠方等信息，支持基于对应项目和协议录入协议捐赠款交付计划，交付计划包括交付日期、交付方式、交付金额等，支持基于相关协议查询预到账明细，支持捐赠金额预分配到对应用途的项目，协议可关联财务凭证核销交付计划，支持智能推荐财务凭证，还支持手动选择更多财务凭证进行核销确认。</w:t>
            </w:r>
          </w:p>
          <w:p w14:paraId="181AB233">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六、演示公众号运营分析相关功能，支持基于月度、年度等维度的分析，快速输出各维度分析的各大运营指标情况，并支持选择多个不同高校的对比公众号，实现各大运营指标的对比分析。</w:t>
            </w:r>
          </w:p>
          <w:p w14:paraId="51D126F3">
            <w:pPr>
              <w:pageBreakBefore w:val="0"/>
              <w:widowControl/>
              <w:kinsoku/>
              <w:wordWrap/>
              <w:overflowPunct/>
              <w:topLinePunct w:val="0"/>
              <w:bidi w:val="0"/>
              <w:spacing w:line="360" w:lineRule="auto"/>
              <w:jc w:val="left"/>
              <w:textAlignment w:val="center"/>
              <w:rPr>
                <w:rFonts w:hint="default"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上述每项满分5分，合计最高得</w:t>
            </w:r>
            <w:r>
              <w:rPr>
                <w:rFonts w:hint="eastAsia" w:asciiTheme="minorEastAsia" w:hAnsiTheme="minorEastAsia" w:eastAsiaTheme="minorEastAsia" w:cstheme="minorEastAsia"/>
                <w:sz w:val="24"/>
                <w:szCs w:val="24"/>
                <w:lang w:val="en-US" w:eastAsia="zh-CN"/>
              </w:rPr>
              <w:t>30</w:t>
            </w:r>
            <w:r>
              <w:rPr>
                <w:rFonts w:hint="default" w:asciiTheme="minorEastAsia" w:hAnsiTheme="minorEastAsia" w:eastAsiaTheme="minorEastAsia" w:cstheme="minorEastAsia"/>
                <w:sz w:val="24"/>
                <w:szCs w:val="24"/>
                <w:lang w:val="en-US" w:eastAsia="zh-CN"/>
              </w:rPr>
              <w:t>分。每项按以下进行评分：</w:t>
            </w:r>
          </w:p>
          <w:p w14:paraId="11591816">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lang w:val="en-US" w:eastAsia="zh-CN"/>
              </w:rPr>
            </w:pPr>
            <w:r>
              <w:rPr>
                <w:rFonts w:hint="default" w:asciiTheme="minorEastAsia" w:hAnsiTheme="minorEastAsia" w:eastAsiaTheme="minorEastAsia" w:cstheme="minorEastAsia"/>
                <w:sz w:val="24"/>
                <w:szCs w:val="24"/>
                <w:lang w:val="en-US" w:eastAsia="zh-CN"/>
              </w:rPr>
              <w:t>1、演示功能完整性</w:t>
            </w:r>
            <w:r>
              <w:rPr>
                <w:rFonts w:hint="eastAsia" w:asciiTheme="minorEastAsia" w:hAnsiTheme="minorEastAsia" w:eastAsiaTheme="minorEastAsia" w:cstheme="minorEastAsia"/>
                <w:sz w:val="24"/>
                <w:szCs w:val="24"/>
                <w:lang w:val="en-US" w:eastAsia="zh-CN"/>
              </w:rPr>
              <w:t>好</w:t>
            </w:r>
            <w:r>
              <w:rPr>
                <w:rFonts w:hint="default" w:asciiTheme="minorEastAsia" w:hAnsiTheme="minorEastAsia" w:eastAsiaTheme="minorEastAsia" w:cstheme="minorEastAsia"/>
                <w:sz w:val="24"/>
                <w:szCs w:val="24"/>
                <w:lang w:val="en-US" w:eastAsia="zh-CN"/>
              </w:rPr>
              <w:t>、</w:t>
            </w:r>
            <w:r>
              <w:rPr>
                <w:rFonts w:hint="eastAsia" w:asciiTheme="minorEastAsia" w:hAnsiTheme="minorEastAsia" w:eastAsiaTheme="minorEastAsia" w:cstheme="minorEastAsia"/>
                <w:sz w:val="24"/>
                <w:szCs w:val="24"/>
                <w:lang w:val="en-US" w:eastAsia="zh-CN"/>
              </w:rPr>
              <w:t>开发</w:t>
            </w:r>
            <w:r>
              <w:rPr>
                <w:rFonts w:hint="default" w:asciiTheme="minorEastAsia" w:hAnsiTheme="minorEastAsia" w:eastAsiaTheme="minorEastAsia" w:cstheme="minorEastAsia"/>
                <w:sz w:val="24"/>
                <w:szCs w:val="24"/>
                <w:lang w:val="en-US" w:eastAsia="zh-CN"/>
              </w:rPr>
              <w:t>成熟</w:t>
            </w:r>
            <w:r>
              <w:rPr>
                <w:rFonts w:hint="eastAsia" w:asciiTheme="minorEastAsia" w:hAnsiTheme="minorEastAsia" w:eastAsiaTheme="minorEastAsia" w:cstheme="minorEastAsia"/>
                <w:sz w:val="24"/>
                <w:szCs w:val="24"/>
                <w:lang w:val="en-US" w:eastAsia="zh-CN"/>
              </w:rPr>
              <w:t>的得5分；</w:t>
            </w:r>
          </w:p>
          <w:p w14:paraId="55372206">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w:t>
            </w:r>
            <w:r>
              <w:rPr>
                <w:rFonts w:hint="default" w:asciiTheme="minorEastAsia" w:hAnsiTheme="minorEastAsia" w:eastAsiaTheme="minorEastAsia" w:cstheme="minorEastAsia"/>
                <w:sz w:val="24"/>
                <w:szCs w:val="24"/>
                <w:lang w:val="en-US" w:eastAsia="zh-CN"/>
              </w:rPr>
              <w:t>演示功能</w:t>
            </w:r>
            <w:r>
              <w:rPr>
                <w:rFonts w:hint="eastAsia" w:asciiTheme="minorEastAsia" w:hAnsiTheme="minorEastAsia" w:eastAsiaTheme="minorEastAsia" w:cstheme="minorEastAsia"/>
                <w:sz w:val="24"/>
                <w:szCs w:val="24"/>
                <w:lang w:val="en-US" w:eastAsia="zh-CN"/>
              </w:rPr>
              <w:t>较</w:t>
            </w:r>
            <w:r>
              <w:rPr>
                <w:rFonts w:hint="default" w:asciiTheme="minorEastAsia" w:hAnsiTheme="minorEastAsia" w:eastAsiaTheme="minorEastAsia" w:cstheme="minorEastAsia"/>
                <w:sz w:val="24"/>
                <w:szCs w:val="24"/>
                <w:lang w:val="en-US" w:eastAsia="zh-CN"/>
              </w:rPr>
              <w:t>完整、</w:t>
            </w:r>
            <w:r>
              <w:rPr>
                <w:rFonts w:hint="eastAsia" w:asciiTheme="minorEastAsia" w:hAnsiTheme="minorEastAsia" w:eastAsiaTheme="minorEastAsia" w:cstheme="minorEastAsia"/>
                <w:sz w:val="24"/>
                <w:szCs w:val="24"/>
                <w:lang w:val="en-US" w:eastAsia="zh-CN"/>
              </w:rPr>
              <w:t>较</w:t>
            </w:r>
            <w:r>
              <w:rPr>
                <w:rFonts w:hint="default" w:asciiTheme="minorEastAsia" w:hAnsiTheme="minorEastAsia" w:eastAsiaTheme="minorEastAsia" w:cstheme="minorEastAsia"/>
                <w:sz w:val="24"/>
                <w:szCs w:val="24"/>
                <w:lang w:val="en-US" w:eastAsia="zh-CN"/>
              </w:rPr>
              <w:t>成熟</w:t>
            </w:r>
            <w:r>
              <w:rPr>
                <w:rFonts w:hint="eastAsia" w:asciiTheme="minorEastAsia" w:hAnsiTheme="minorEastAsia" w:eastAsiaTheme="minorEastAsia" w:cstheme="minorEastAsia"/>
                <w:sz w:val="24"/>
                <w:szCs w:val="24"/>
                <w:lang w:val="en-US" w:eastAsia="zh-CN"/>
              </w:rPr>
              <w:t>的得3分；</w:t>
            </w:r>
          </w:p>
          <w:p w14:paraId="193626AC">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w:t>
            </w:r>
            <w:r>
              <w:rPr>
                <w:rFonts w:hint="default" w:asciiTheme="minorEastAsia" w:hAnsiTheme="minorEastAsia" w:eastAsiaTheme="minorEastAsia" w:cstheme="minorEastAsia"/>
                <w:sz w:val="24"/>
                <w:szCs w:val="24"/>
                <w:lang w:val="en-US" w:eastAsia="zh-CN"/>
              </w:rPr>
              <w:t>演示功能完整</w:t>
            </w:r>
            <w:r>
              <w:rPr>
                <w:rFonts w:hint="eastAsia" w:asciiTheme="minorEastAsia" w:hAnsiTheme="minorEastAsia" w:eastAsiaTheme="minorEastAsia" w:cstheme="minorEastAsia"/>
                <w:sz w:val="24"/>
                <w:szCs w:val="24"/>
                <w:lang w:val="en-US" w:eastAsia="zh-CN"/>
              </w:rPr>
              <w:t>度一般</w:t>
            </w:r>
            <w:r>
              <w:rPr>
                <w:rFonts w:hint="default" w:asciiTheme="minorEastAsia" w:hAnsiTheme="minorEastAsia" w:eastAsiaTheme="minorEastAsia" w:cstheme="minorEastAsia"/>
                <w:sz w:val="24"/>
                <w:szCs w:val="24"/>
                <w:lang w:val="en-US" w:eastAsia="zh-CN"/>
              </w:rPr>
              <w:t>、成熟</w:t>
            </w:r>
            <w:r>
              <w:rPr>
                <w:rFonts w:hint="eastAsia" w:asciiTheme="minorEastAsia" w:hAnsiTheme="minorEastAsia" w:eastAsiaTheme="minorEastAsia" w:cstheme="minorEastAsia"/>
                <w:sz w:val="24"/>
                <w:szCs w:val="24"/>
                <w:lang w:val="en-US" w:eastAsia="zh-CN"/>
              </w:rPr>
              <w:t>度一般的得1分；</w:t>
            </w:r>
          </w:p>
          <w:p w14:paraId="2284356F">
            <w:pPr>
              <w:pageBreakBefore w:val="0"/>
              <w:widowControl/>
              <w:kinsoku/>
              <w:wordWrap/>
              <w:overflowPunct/>
              <w:topLinePunct w:val="0"/>
              <w:bidi w:val="0"/>
              <w:spacing w:line="360" w:lineRule="auto"/>
              <w:jc w:val="left"/>
              <w:textAlignment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4、差或未提供的不得分。</w:t>
            </w:r>
          </w:p>
          <w:p w14:paraId="22054CDB">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注：（1）本项目为真实系统录屏演示，演示时间为不超过25分钟（不包含准备时间），仅用PPT演示不得分。</w:t>
            </w:r>
          </w:p>
          <w:p w14:paraId="57D546F0">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2）本项目演示内容均采用播放视频形式进行演示，供应商自行录制演示内容并刻录拷贝U盘或移动硬盘,供应商须确保所递交的U盘或移动硬盘绿色安全无任何病毒，所摄视频格式应采取通用可播放的视频格式。因供应商 U 盘或视频格式问题导致无法播放的，由供应商自行承担一切风险和责任。</w:t>
            </w:r>
          </w:p>
          <w:p w14:paraId="69294EC1">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（3）演示资料（U 盘或移动硬盘）外包装须明确所投项目名称，并加盖供应商公章且密封提交。</w:t>
            </w:r>
          </w:p>
          <w:p w14:paraId="3C525093">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b/>
                <w:bCs/>
                <w:sz w:val="24"/>
                <w:szCs w:val="24"/>
                <w:highlight w:val="none"/>
                <w:lang w:val="en-US" w:eastAsia="zh-CN"/>
              </w:rPr>
            </w:pPr>
            <w:r>
              <w:rPr>
                <w:rFonts w:hint="eastAsia" w:asciiTheme="minorEastAsia" w:hAnsiTheme="minorEastAsia" w:eastAsiaTheme="minorEastAsia" w:cstheme="minorEastAsia"/>
                <w:b/>
                <w:bCs/>
                <w:sz w:val="24"/>
                <w:szCs w:val="24"/>
                <w:highlight w:val="none"/>
                <w:lang w:val="en-US" w:eastAsia="zh-CN"/>
              </w:rPr>
              <w:t>（4）本项目指定送达地点及时间：合肥市滨湖新区徽州大道4872号金融港中心A9幢安徽公共资源交易集团一楼；演示资料（U 盘或移动硬盘）未送达指定地点，不予接收。现场送达时间须在响应文件提交截止时间前三十分钟至响应文件提交截止时间，否则不予接收，任何原因导致在响应文件提交截止时间前未接收到演示资料（U 盘或移动硬盘）的，由供应商自行承担一切风险和责任。</w:t>
            </w:r>
          </w:p>
          <w:p w14:paraId="1DC4C862">
            <w:pPr>
              <w:pageBreakBefore w:val="0"/>
              <w:widowControl/>
              <w:kinsoku/>
              <w:wordWrap/>
              <w:overflowPunct/>
              <w:topLinePunct w:val="0"/>
              <w:bidi w:val="0"/>
              <w:spacing w:line="360" w:lineRule="auto"/>
              <w:jc w:val="left"/>
              <w:textAlignment w:val="center"/>
              <w:rPr>
                <w:rFonts w:hint="eastAsia" w:asciiTheme="minorEastAsia" w:hAnsiTheme="minorEastAsia" w:eastAsiaTheme="minorEastAsia" w:cstheme="minorEastAsia"/>
                <w:kern w:val="2"/>
                <w:sz w:val="24"/>
                <w:szCs w:val="24"/>
                <w:highlight w:val="none"/>
                <w:lang w:val="en-US" w:eastAsia="zh-CN" w:bidi="ar-SA"/>
              </w:rPr>
            </w:pPr>
            <w:r>
              <w:rPr>
                <w:rFonts w:hint="eastAsia" w:asciiTheme="minorEastAsia" w:hAnsiTheme="minorEastAsia" w:eastAsiaTheme="minorEastAsia" w:cstheme="minorEastAsia"/>
                <w:b/>
                <w:bCs/>
                <w:sz w:val="24"/>
                <w:szCs w:val="24"/>
                <w:highlight w:val="none"/>
                <w:lang w:val="en-US" w:eastAsia="zh-CN"/>
              </w:rPr>
              <w:t>（5）评审现场根据供应商网上递交加密电子响应文件的送达先后顺序依次播放视频。</w:t>
            </w:r>
          </w:p>
        </w:tc>
        <w:tc>
          <w:tcPr>
            <w:tcW w:w="761" w:type="dxa"/>
            <w:tcBorders>
              <w:top w:val="single" w:color="auto" w:sz="4" w:space="0"/>
              <w:left w:val="single" w:color="auto" w:sz="4" w:space="0"/>
              <w:bottom w:val="single" w:color="auto" w:sz="4" w:space="0"/>
              <w:right w:val="single" w:color="auto" w:sz="4" w:space="0"/>
            </w:tcBorders>
            <w:shd w:val="clear" w:color="auto" w:fill="auto"/>
            <w:vAlign w:val="center"/>
          </w:tcPr>
          <w:p w14:paraId="466D80BF">
            <w:pPr>
              <w:pageBreakBefore w:val="0"/>
              <w:kinsoku/>
              <w:wordWrap/>
              <w:overflowPunct/>
              <w:topLinePunct w:val="0"/>
              <w:bidi w:val="0"/>
              <w:spacing w:line="360" w:lineRule="auto"/>
              <w:jc w:val="center"/>
              <w:rPr>
                <w:rFonts w:hint="default" w:ascii="宋体" w:hAnsi="宋体" w:eastAsia="宋体" w:cs="宋体"/>
                <w:color w:val="auto"/>
                <w:kern w:val="2"/>
                <w:sz w:val="24"/>
                <w:szCs w:val="24"/>
                <w:lang w:val="en-US" w:eastAsia="zh-CN" w:bidi="ar-SA"/>
              </w:rPr>
            </w:pPr>
            <w:r>
              <w:rPr>
                <w:rFonts w:hint="eastAsia" w:ascii="宋体" w:hAnsi="宋体" w:eastAsia="宋体" w:cs="宋体"/>
                <w:color w:val="auto"/>
                <w:sz w:val="24"/>
                <w:szCs w:val="24"/>
                <w:lang w:val="en-US" w:eastAsia="zh-CN"/>
              </w:rPr>
              <w:t>0-30分</w:t>
            </w:r>
          </w:p>
        </w:tc>
      </w:tr>
      <w:tr w14:paraId="1B35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11" w:type="dxa"/>
            <w:tcBorders>
              <w:left w:val="single" w:color="auto" w:sz="4" w:space="0"/>
              <w:right w:val="single" w:color="auto" w:sz="4" w:space="0"/>
            </w:tcBorders>
            <w:vAlign w:val="center"/>
          </w:tcPr>
          <w:p w14:paraId="74BA39CD">
            <w:pPr>
              <w:spacing w:line="360" w:lineRule="auto"/>
              <w:jc w:val="center"/>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价格分</w:t>
            </w:r>
          </w:p>
          <w:p w14:paraId="2CC5ACA4">
            <w:pPr>
              <w:spacing w:line="360" w:lineRule="auto"/>
              <w:jc w:val="center"/>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15</w:t>
            </w:r>
            <w:r>
              <w:rPr>
                <w:rFonts w:hint="eastAsia" w:asciiTheme="minorEastAsia" w:hAnsiTheme="minorEastAsia" w:eastAsiaTheme="minorEastAsia"/>
                <w:color w:val="000000" w:themeColor="text1"/>
                <w:sz w:val="24"/>
                <w14:textFill>
                  <w14:solidFill>
                    <w14:schemeClr w14:val="tx1"/>
                  </w14:solidFill>
                </w14:textFill>
              </w:rPr>
              <w:t>分）</w:t>
            </w:r>
          </w:p>
        </w:tc>
        <w:tc>
          <w:tcPr>
            <w:tcW w:w="7811" w:type="dxa"/>
            <w:gridSpan w:val="3"/>
            <w:tcBorders>
              <w:top w:val="single" w:color="auto" w:sz="4" w:space="0"/>
              <w:left w:val="single" w:color="auto" w:sz="4" w:space="0"/>
              <w:bottom w:val="single" w:color="auto" w:sz="4" w:space="0"/>
              <w:right w:val="single" w:color="auto" w:sz="4" w:space="0"/>
            </w:tcBorders>
            <w:vAlign w:val="center"/>
          </w:tcPr>
          <w:p w14:paraId="4F7AD213">
            <w:pPr>
              <w:spacing w:line="360" w:lineRule="auto"/>
              <w:rPr>
                <w:rFonts w:asciiTheme="minorEastAsia" w:hAnsiTheme="minorEastAsia" w:eastAsiaTheme="minorEastAsia"/>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价格分统一采用低价优先法，即满足磋商文件要求且最后报价最低的供应商的价格为磋商基准价，其价格分为满分</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15</w:t>
            </w:r>
            <w:r>
              <w:rPr>
                <w:rFonts w:hint="eastAsia" w:asciiTheme="minorEastAsia" w:hAnsiTheme="minorEastAsia" w:eastAsiaTheme="minorEastAsia"/>
                <w:color w:val="000000" w:themeColor="text1"/>
                <w:sz w:val="24"/>
                <w14:textFill>
                  <w14:solidFill>
                    <w14:schemeClr w14:val="tx1"/>
                  </w14:solidFill>
                </w14:textFill>
              </w:rPr>
              <w:t>分。其他供应商的价格分统一按照下列公式计算：</w:t>
            </w:r>
          </w:p>
          <w:p w14:paraId="6C17FF55">
            <w:pPr>
              <w:spacing w:line="360" w:lineRule="auto"/>
              <w:rPr>
                <w:rFonts w:asciiTheme="minorEastAsia" w:hAnsiTheme="minorEastAsia" w:eastAsiaTheme="minorEastAsia"/>
                <w:b/>
                <w:bCs/>
                <w:color w:val="000000" w:themeColor="text1"/>
                <w:sz w:val="24"/>
                <w14:textFill>
                  <w14:solidFill>
                    <w14:schemeClr w14:val="tx1"/>
                  </w14:solidFill>
                </w14:textFill>
              </w:rPr>
            </w:pPr>
            <w:r>
              <w:rPr>
                <w:rFonts w:hint="eastAsia" w:asciiTheme="minorEastAsia" w:hAnsiTheme="minorEastAsia" w:eastAsiaTheme="minorEastAsia"/>
                <w:color w:val="000000" w:themeColor="text1"/>
                <w:sz w:val="24"/>
                <w14:textFill>
                  <w14:solidFill>
                    <w14:schemeClr w14:val="tx1"/>
                  </w14:solidFill>
                </w14:textFill>
              </w:rPr>
              <w:t>磋商报价得分＝（磋商基准价/</w:t>
            </w:r>
            <w:r>
              <w:rPr>
                <w:rFonts w:hint="eastAsia" w:ascii="宋体" w:hAnsi="宋体" w:eastAsia="宋体"/>
                <w:color w:val="000000" w:themeColor="text1"/>
                <w:sz w:val="24"/>
                <w14:textFill>
                  <w14:solidFill>
                    <w14:schemeClr w14:val="tx1"/>
                  </w14:solidFill>
                </w14:textFill>
              </w:rPr>
              <w:t>最后磋商</w:t>
            </w:r>
            <w:r>
              <w:rPr>
                <w:rFonts w:hint="eastAsia" w:asciiTheme="minorEastAsia" w:hAnsiTheme="minorEastAsia" w:eastAsiaTheme="minorEastAsia"/>
                <w:color w:val="000000" w:themeColor="text1"/>
                <w:sz w:val="24"/>
                <w14:textFill>
                  <w14:solidFill>
                    <w14:schemeClr w14:val="tx1"/>
                  </w14:solidFill>
                </w14:textFill>
              </w:rPr>
              <w:t>报价）×</w:t>
            </w:r>
            <w:r>
              <w:rPr>
                <w:rFonts w:hint="eastAsia" w:asciiTheme="minorEastAsia" w:hAnsiTheme="minorEastAsia" w:eastAsiaTheme="minorEastAsia"/>
                <w:color w:val="000000" w:themeColor="text1"/>
                <w:sz w:val="24"/>
                <w:u w:val="single"/>
                <w:lang w:val="en-US" w:eastAsia="zh-CN"/>
                <w14:textFill>
                  <w14:solidFill>
                    <w14:schemeClr w14:val="tx1"/>
                  </w14:solidFill>
                </w14:textFill>
              </w:rPr>
              <w:t>15</w:t>
            </w:r>
            <w:r>
              <w:rPr>
                <w:rFonts w:hint="eastAsia" w:asciiTheme="minorEastAsia" w:hAnsiTheme="minorEastAsia" w:eastAsiaTheme="minorEastAsia"/>
                <w:color w:val="000000" w:themeColor="text1"/>
                <w:sz w:val="24"/>
                <w14:textFill>
                  <w14:solidFill>
                    <w14:schemeClr w14:val="tx1"/>
                  </w14:solidFill>
                </w14:textFill>
              </w:rPr>
              <w:t>％×100</w:t>
            </w:r>
          </w:p>
        </w:tc>
      </w:tr>
    </w:tbl>
    <w:p w14:paraId="1B7FF265">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.3</w:t>
      </w:r>
      <w:r>
        <w:rPr>
          <w:rFonts w:hint="eastAsia" w:asciiTheme="minorEastAsia" w:hAnsiTheme="minorEastAsia" w:eastAsiaTheme="minorEastAsia"/>
          <w:sz w:val="24"/>
        </w:rPr>
        <w:t>分值汇总</w:t>
      </w:r>
    </w:p>
    <w:p w14:paraId="7AD5C10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1）磋商小组各成员应当独立对每个有效响应的文件进行评价、打分，然后汇总每个供应商每项评分因素的得分，再取各位评委评分之平均值，四舍五入保留至小数点后两位数，得到该供应商的技术资信分。</w:t>
      </w:r>
    </w:p>
    <w:p w14:paraId="77F401DE">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w:t>
      </w:r>
      <w:r>
        <w:rPr>
          <w:rFonts w:asciiTheme="minorEastAsia" w:hAnsiTheme="minorEastAsia" w:eastAsiaTheme="minorEastAsia"/>
          <w:sz w:val="24"/>
        </w:rPr>
        <w:t>2）将每个供应商的技术资信分加上根据上述标准计算出的价格分，即为该供应商的综合总得分。</w:t>
      </w:r>
    </w:p>
    <w:p w14:paraId="01919205">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77DF884A">
      <w:pPr>
        <w:spacing w:line="360" w:lineRule="auto"/>
        <w:jc w:val="center"/>
        <w:outlineLvl w:val="0"/>
        <w:rPr>
          <w:rFonts w:asciiTheme="minorEastAsia" w:hAnsiTheme="minorEastAsia" w:eastAsiaTheme="minorEastAsia"/>
          <w:b/>
          <w:sz w:val="28"/>
        </w:rPr>
      </w:pPr>
      <w:bookmarkStart w:id="25" w:name="_Toc23589"/>
      <w:r>
        <w:rPr>
          <w:rFonts w:hint="eastAsia" w:asciiTheme="minorEastAsia" w:hAnsiTheme="minorEastAsia" w:eastAsiaTheme="minorEastAsia"/>
          <w:b/>
          <w:sz w:val="28"/>
        </w:rPr>
        <w:t xml:space="preserve">第五章  </w:t>
      </w:r>
      <w:r>
        <w:rPr>
          <w:rFonts w:asciiTheme="minorEastAsia" w:hAnsiTheme="minorEastAsia" w:eastAsiaTheme="minorEastAsia"/>
          <w:b/>
          <w:sz w:val="28"/>
        </w:rPr>
        <w:t>采购合同</w:t>
      </w:r>
      <w:bookmarkEnd w:id="25"/>
    </w:p>
    <w:p w14:paraId="673279BA">
      <w:pPr>
        <w:spacing w:line="480" w:lineRule="auto"/>
        <w:jc w:val="center"/>
        <w:rPr>
          <w:rFonts w:ascii="宋体" w:hAnsi="宋体" w:eastAsia="宋体"/>
          <w:b/>
          <w:sz w:val="24"/>
        </w:rPr>
      </w:pPr>
    </w:p>
    <w:p w14:paraId="259D2AFF">
      <w:pPr>
        <w:spacing w:line="480" w:lineRule="auto"/>
        <w:jc w:val="center"/>
        <w:rPr>
          <w:rFonts w:ascii="宋体" w:hAnsi="宋体" w:eastAsia="宋体"/>
          <w:b/>
          <w:sz w:val="24"/>
        </w:rPr>
      </w:pPr>
    </w:p>
    <w:p w14:paraId="32925283">
      <w:pPr>
        <w:spacing w:line="480" w:lineRule="auto"/>
        <w:jc w:val="center"/>
        <w:rPr>
          <w:rFonts w:ascii="宋体" w:hAnsi="宋体" w:eastAsia="宋体"/>
          <w:b/>
          <w:sz w:val="24"/>
        </w:rPr>
      </w:pPr>
    </w:p>
    <w:p w14:paraId="36D1F975">
      <w:pPr>
        <w:spacing w:line="480" w:lineRule="auto"/>
        <w:jc w:val="center"/>
        <w:outlineLvl w:val="1"/>
        <w:rPr>
          <w:rFonts w:ascii="宋体" w:hAnsi="宋体" w:eastAsia="宋体"/>
          <w:b/>
          <w:sz w:val="32"/>
          <w:szCs w:val="32"/>
        </w:rPr>
      </w:pPr>
      <w:bookmarkStart w:id="26" w:name="_Toc551"/>
      <w:r>
        <w:rPr>
          <w:rFonts w:ascii="宋体" w:hAnsi="宋体" w:eastAsia="宋体"/>
          <w:b/>
          <w:sz w:val="32"/>
          <w:szCs w:val="32"/>
        </w:rPr>
        <w:t>采购合同</w:t>
      </w:r>
      <w:r>
        <w:rPr>
          <w:rFonts w:hint="eastAsia" w:ascii="宋体" w:hAnsi="宋体" w:eastAsia="宋体"/>
          <w:b/>
          <w:sz w:val="32"/>
          <w:szCs w:val="32"/>
        </w:rPr>
        <w:t>参考范本</w:t>
      </w:r>
      <w:bookmarkEnd w:id="26"/>
    </w:p>
    <w:p w14:paraId="5B287A31">
      <w:pPr>
        <w:spacing w:line="480" w:lineRule="auto"/>
        <w:jc w:val="center"/>
        <w:outlineLvl w:val="1"/>
        <w:rPr>
          <w:rFonts w:ascii="宋体" w:hAnsi="宋体" w:eastAsia="宋体"/>
          <w:b/>
          <w:sz w:val="32"/>
          <w:szCs w:val="32"/>
        </w:rPr>
      </w:pPr>
      <w:bookmarkStart w:id="27" w:name="_Toc8718"/>
      <w:r>
        <w:rPr>
          <w:rFonts w:hint="eastAsia" w:ascii="宋体" w:hAnsi="宋体" w:eastAsia="宋体"/>
          <w:b/>
          <w:sz w:val="32"/>
          <w:szCs w:val="32"/>
        </w:rPr>
        <w:t>（服务类）</w:t>
      </w:r>
      <w:bookmarkEnd w:id="27"/>
    </w:p>
    <w:p w14:paraId="0D2C23F7">
      <w:pPr>
        <w:spacing w:line="480" w:lineRule="auto"/>
        <w:jc w:val="center"/>
        <w:rPr>
          <w:rFonts w:ascii="宋体" w:hAnsi="宋体" w:eastAsia="宋体"/>
          <w:b/>
          <w:sz w:val="24"/>
        </w:rPr>
      </w:pPr>
    </w:p>
    <w:p w14:paraId="14D534C4">
      <w:pPr>
        <w:spacing w:line="480" w:lineRule="auto"/>
        <w:jc w:val="center"/>
        <w:rPr>
          <w:rFonts w:ascii="宋体" w:hAnsi="宋体" w:eastAsia="宋体"/>
          <w:b/>
          <w:sz w:val="24"/>
        </w:rPr>
      </w:pPr>
    </w:p>
    <w:p w14:paraId="1F6CE23B">
      <w:pPr>
        <w:spacing w:line="480" w:lineRule="auto"/>
        <w:jc w:val="center"/>
        <w:rPr>
          <w:rFonts w:ascii="宋体" w:hAnsi="宋体" w:eastAsia="宋体"/>
          <w:b/>
          <w:sz w:val="24"/>
        </w:rPr>
      </w:pPr>
    </w:p>
    <w:p w14:paraId="68F721E6">
      <w:pPr>
        <w:spacing w:line="360" w:lineRule="auto"/>
        <w:jc w:val="center"/>
        <w:outlineLvl w:val="1"/>
        <w:rPr>
          <w:rFonts w:ascii="宋体" w:hAnsi="宋体" w:eastAsia="宋体"/>
          <w:b/>
          <w:sz w:val="24"/>
        </w:rPr>
      </w:pPr>
      <w:bookmarkStart w:id="28" w:name="_Toc16838"/>
      <w:r>
        <w:rPr>
          <w:rFonts w:hint="eastAsia" w:ascii="宋体" w:hAnsi="宋体" w:eastAsia="宋体"/>
          <w:b/>
          <w:sz w:val="24"/>
        </w:rPr>
        <w:t>第一部分 合同书</w:t>
      </w:r>
      <w:bookmarkEnd w:id="28"/>
    </w:p>
    <w:p w14:paraId="35F91367">
      <w:pPr>
        <w:spacing w:line="480" w:lineRule="auto"/>
        <w:jc w:val="center"/>
        <w:rPr>
          <w:rFonts w:ascii="宋体" w:hAnsi="宋体" w:eastAsia="宋体"/>
          <w:b/>
          <w:sz w:val="24"/>
        </w:rPr>
      </w:pPr>
    </w:p>
    <w:p w14:paraId="3C7C4351">
      <w:pPr>
        <w:spacing w:line="480" w:lineRule="auto"/>
        <w:jc w:val="center"/>
        <w:rPr>
          <w:rFonts w:ascii="宋体" w:hAnsi="宋体" w:eastAsia="宋体"/>
          <w:b/>
          <w:sz w:val="24"/>
        </w:rPr>
      </w:pPr>
    </w:p>
    <w:p w14:paraId="6F32EBE5">
      <w:pPr>
        <w:spacing w:line="480" w:lineRule="auto"/>
        <w:jc w:val="center"/>
        <w:rPr>
          <w:rFonts w:ascii="宋体" w:hAnsi="宋体" w:eastAsia="宋体"/>
          <w:b/>
          <w:sz w:val="24"/>
        </w:rPr>
      </w:pPr>
    </w:p>
    <w:p w14:paraId="0936B4B9">
      <w:pPr>
        <w:spacing w:before="120" w:line="480" w:lineRule="auto"/>
        <w:ind w:left="960"/>
        <w:rPr>
          <w:rFonts w:ascii="宋体" w:hAnsi="宋体" w:eastAsia="宋体"/>
          <w:sz w:val="24"/>
          <w:u w:val="single"/>
        </w:rPr>
      </w:pPr>
      <w:r>
        <w:rPr>
          <w:rFonts w:hint="eastAsia" w:ascii="宋体" w:hAnsi="宋体" w:eastAsia="宋体"/>
          <w:sz w:val="24"/>
        </w:rPr>
        <w:t>项目名称：</w:t>
      </w:r>
      <w:r>
        <w:rPr>
          <w:rFonts w:hint="eastAsia" w:ascii="宋体" w:hAnsi="宋体" w:eastAsia="宋体"/>
          <w:sz w:val="24"/>
          <w:u w:val="single"/>
          <w:lang w:eastAsia="zh-CN"/>
        </w:rPr>
        <w:t>滁州学院校友信息管理系统升级改造项目</w:t>
      </w:r>
    </w:p>
    <w:p w14:paraId="7DCC05B1">
      <w:pPr>
        <w:spacing w:before="120" w:line="480" w:lineRule="auto"/>
        <w:ind w:left="960"/>
        <w:rPr>
          <w:rFonts w:hint="eastAsia" w:ascii="宋体" w:hAnsi="宋体" w:eastAsia="宋体"/>
          <w:sz w:val="24"/>
          <w:lang w:eastAsia="zh-CN"/>
        </w:rPr>
      </w:pPr>
      <w:r>
        <w:rPr>
          <w:rFonts w:hint="eastAsia" w:ascii="宋体" w:hAnsi="宋体" w:eastAsia="宋体"/>
          <w:sz w:val="24"/>
        </w:rPr>
        <w:t>项目编号：</w:t>
      </w:r>
      <w:r>
        <w:rPr>
          <w:rFonts w:hint="eastAsia" w:ascii="宋体" w:hAnsi="宋体" w:eastAsia="宋体"/>
          <w:sz w:val="24"/>
          <w:u w:val="single"/>
          <w:lang w:eastAsia="zh-CN"/>
        </w:rPr>
        <w:t>2025HBAFN00034</w:t>
      </w:r>
    </w:p>
    <w:p w14:paraId="50B9AA03">
      <w:pPr>
        <w:spacing w:before="120" w:line="480" w:lineRule="auto"/>
        <w:ind w:left="96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w:t>
      </w:r>
    </w:p>
    <w:p w14:paraId="715B6AE3">
      <w:pPr>
        <w:spacing w:before="120" w:line="480" w:lineRule="auto"/>
        <w:ind w:left="96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61668F43">
      <w:pPr>
        <w:spacing w:before="120" w:line="480" w:lineRule="auto"/>
        <w:ind w:firstLine="960" w:firstLineChars="4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301DD84F">
      <w:pPr>
        <w:spacing w:before="120" w:line="480" w:lineRule="auto"/>
        <w:ind w:firstLine="960" w:firstLineChars="40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71A3CC26">
      <w:pPr>
        <w:widowControl/>
        <w:jc w:val="left"/>
        <w:rPr>
          <w:rFonts w:ascii="宋体" w:hAnsi="宋体" w:eastAsia="宋体"/>
          <w:sz w:val="24"/>
        </w:rPr>
      </w:pPr>
      <w:r>
        <w:rPr>
          <w:rFonts w:ascii="宋体" w:hAnsi="宋体" w:eastAsia="宋体"/>
          <w:sz w:val="24"/>
        </w:rPr>
        <w:br w:type="page"/>
      </w:r>
    </w:p>
    <w:p w14:paraId="7B74CD70">
      <w:pPr>
        <w:spacing w:line="360" w:lineRule="auto"/>
        <w:ind w:firstLine="435"/>
        <w:rPr>
          <w:rFonts w:ascii="宋体" w:hAnsi="宋体" w:eastAsia="宋体"/>
          <w:sz w:val="24"/>
        </w:rPr>
      </w:pPr>
      <w:r>
        <w:rPr>
          <w:rFonts w:hint="eastAsia" w:ascii="宋体" w:hAnsi="宋体" w:eastAsia="宋体"/>
          <w:sz w:val="24"/>
          <w:u w:val="single"/>
          <w:lang w:eastAsia="zh-CN"/>
        </w:rPr>
        <w:t>滁州学院教育发展基金会</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宋体" w:hAnsi="宋体" w:eastAsia="宋体"/>
          <w:sz w:val="24"/>
          <w:u w:val="single"/>
        </w:rPr>
        <w:t>安徽公共资源交易集团项目管理有限公司</w:t>
      </w:r>
      <w:r>
        <w:rPr>
          <w:rFonts w:hint="eastAsia" w:ascii="宋体" w:hAnsi="宋体" w:eastAsia="宋体"/>
          <w:sz w:val="24"/>
        </w:rPr>
        <w:t>组织的</w:t>
      </w:r>
      <w:r>
        <w:rPr>
          <w:rFonts w:hint="eastAsia" w:ascii="宋体" w:hAnsi="宋体" w:eastAsia="宋体"/>
          <w:sz w:val="24"/>
          <w:u w:val="single"/>
        </w:rPr>
        <w:t>竞争性磋商</w:t>
      </w:r>
      <w:r>
        <w:rPr>
          <w:rFonts w:hint="eastAsia" w:ascii="宋体" w:hAnsi="宋体" w:eastAsia="宋体"/>
          <w:sz w:val="24"/>
        </w:rPr>
        <w:t>方式采购活动，经</w:t>
      </w:r>
      <w:r>
        <w:rPr>
          <w:rFonts w:hint="eastAsia" w:ascii="宋体" w:hAnsi="宋体" w:eastAsia="宋体"/>
          <w:sz w:val="24"/>
          <w:u w:val="single"/>
        </w:rPr>
        <w:t>磋商小组</w:t>
      </w:r>
      <w:r>
        <w:rPr>
          <w:rFonts w:hint="eastAsia" w:ascii="宋体" w:hAnsi="宋体" w:eastAsia="宋体"/>
          <w:sz w:val="24"/>
        </w:rPr>
        <w:t>评定，</w:t>
      </w:r>
      <w:r>
        <w:rPr>
          <w:rFonts w:hint="eastAsia" w:ascii="宋体" w:hAnsi="宋体" w:eastAsia="宋体"/>
          <w:i/>
          <w:iCs/>
          <w:sz w:val="24"/>
          <w:u w:val="single"/>
        </w:rPr>
        <w:t>（成交供应商名称）</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7E3F7656">
      <w:pPr>
        <w:spacing w:line="360" w:lineRule="auto"/>
        <w:ind w:firstLine="435"/>
        <w:rPr>
          <w:rFonts w:ascii="宋体" w:hAnsi="宋体" w:eastAsia="宋体"/>
          <w:sz w:val="24"/>
          <w:lang w:val="zh-CN"/>
        </w:rPr>
      </w:pPr>
      <w:r>
        <w:rPr>
          <w:rFonts w:hint="eastAsia" w:ascii="宋体" w:hAnsi="宋体" w:eastAsia="宋体"/>
          <w:sz w:val="24"/>
        </w:rPr>
        <w:t>根据《中华人民共和国民法典》等相关法律法规之规定，按照平等、自愿、公平和诚实信用的原则，经甲方和乙方协商一致，约定以下合同条款，以兹共同遵守、全面履行。</w:t>
      </w:r>
    </w:p>
    <w:p w14:paraId="0453E0CA">
      <w:pPr>
        <w:spacing w:line="360" w:lineRule="auto"/>
        <w:ind w:firstLine="437"/>
        <w:outlineLvl w:val="2"/>
        <w:rPr>
          <w:rFonts w:ascii="宋体" w:hAnsi="宋体" w:eastAsia="宋体"/>
          <w:b/>
          <w:bCs/>
          <w:sz w:val="24"/>
          <w:lang w:val="zh-CN"/>
        </w:rPr>
      </w:pPr>
      <w:bookmarkStart w:id="29" w:name="_Toc3029"/>
      <w:bookmarkStart w:id="30" w:name="_Toc2232"/>
      <w:bookmarkStart w:id="31" w:name="_Toc24059"/>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29"/>
      <w:bookmarkEnd w:id="30"/>
      <w:bookmarkEnd w:id="31"/>
    </w:p>
    <w:p w14:paraId="04806BB0">
      <w:pPr>
        <w:spacing w:line="360" w:lineRule="auto"/>
        <w:ind w:firstLine="435"/>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35214225">
      <w:pPr>
        <w:spacing w:line="360" w:lineRule="auto"/>
        <w:ind w:firstLine="435"/>
        <w:rPr>
          <w:rFonts w:ascii="宋体" w:hAnsi="宋体" w:eastAsia="宋体"/>
          <w:sz w:val="24"/>
          <w:lang w:val="zh-CN"/>
        </w:rPr>
      </w:pPr>
      <w:r>
        <w:rPr>
          <w:rFonts w:hint="eastAsia" w:ascii="宋体" w:hAnsi="宋体" w:eastAsia="宋体"/>
          <w:sz w:val="24"/>
          <w:lang w:val="zh-CN"/>
        </w:rPr>
        <w:t>1.1.1本合同及其补充合同、变更协议；</w:t>
      </w:r>
    </w:p>
    <w:p w14:paraId="187933F1">
      <w:pPr>
        <w:spacing w:line="360" w:lineRule="auto"/>
        <w:ind w:firstLine="435"/>
        <w:rPr>
          <w:rFonts w:ascii="宋体" w:hAnsi="宋体" w:eastAsia="宋体"/>
          <w:sz w:val="24"/>
          <w:lang w:val="zh-CN"/>
        </w:rPr>
      </w:pPr>
      <w:r>
        <w:rPr>
          <w:rFonts w:hint="eastAsia" w:ascii="宋体" w:hAnsi="宋体" w:eastAsia="宋体"/>
          <w:sz w:val="24"/>
          <w:lang w:val="zh-CN"/>
        </w:rPr>
        <w:t>1.1.2成交通知书；</w:t>
      </w:r>
    </w:p>
    <w:p w14:paraId="64EE7BB6">
      <w:pPr>
        <w:spacing w:line="360" w:lineRule="auto"/>
        <w:ind w:firstLine="435"/>
        <w:rPr>
          <w:rFonts w:ascii="宋体" w:hAnsi="宋体" w:eastAsia="宋体"/>
          <w:sz w:val="24"/>
          <w:lang w:val="zh-CN"/>
        </w:rPr>
      </w:pPr>
      <w:r>
        <w:rPr>
          <w:rFonts w:hint="eastAsia" w:ascii="宋体" w:hAnsi="宋体" w:eastAsia="宋体"/>
          <w:sz w:val="24"/>
          <w:lang w:val="zh-CN"/>
        </w:rPr>
        <w:t>1.1.3响应文件（含澄清或者说明文件）；</w:t>
      </w:r>
    </w:p>
    <w:p w14:paraId="6612C9F3">
      <w:pPr>
        <w:spacing w:line="360" w:lineRule="auto"/>
        <w:ind w:firstLine="435"/>
        <w:rPr>
          <w:rFonts w:ascii="宋体" w:hAnsi="宋体" w:eastAsia="宋体"/>
          <w:sz w:val="24"/>
          <w:lang w:val="zh-CN"/>
        </w:rPr>
      </w:pPr>
      <w:r>
        <w:rPr>
          <w:rFonts w:hint="eastAsia" w:ascii="宋体" w:hAnsi="宋体" w:eastAsia="宋体"/>
          <w:sz w:val="24"/>
          <w:lang w:val="zh-CN"/>
        </w:rPr>
        <w:t>1.1.4磋商文件（含澄清或者修改文件）；</w:t>
      </w:r>
    </w:p>
    <w:p w14:paraId="706FACF6">
      <w:pPr>
        <w:spacing w:line="360" w:lineRule="auto"/>
        <w:ind w:firstLine="435"/>
        <w:rPr>
          <w:rFonts w:ascii="宋体" w:hAnsi="宋体" w:eastAsia="宋体"/>
          <w:sz w:val="24"/>
          <w:lang w:val="zh-CN"/>
        </w:rPr>
      </w:pPr>
      <w:r>
        <w:rPr>
          <w:rFonts w:hint="eastAsia" w:ascii="宋体" w:hAnsi="宋体" w:eastAsia="宋体"/>
          <w:sz w:val="24"/>
          <w:lang w:val="zh-CN"/>
        </w:rPr>
        <w:t>1.1.5其他相关采购文件。</w:t>
      </w:r>
    </w:p>
    <w:p w14:paraId="5E4DBF1A">
      <w:pPr>
        <w:spacing w:line="360" w:lineRule="auto"/>
        <w:ind w:firstLine="437"/>
        <w:outlineLvl w:val="2"/>
        <w:rPr>
          <w:rFonts w:ascii="宋体" w:hAnsi="宋体" w:eastAsia="宋体"/>
          <w:b/>
          <w:bCs/>
          <w:sz w:val="24"/>
          <w:lang w:val="zh-CN"/>
        </w:rPr>
      </w:pPr>
      <w:bookmarkStart w:id="32" w:name="_Toc22185"/>
      <w:bookmarkStart w:id="33" w:name="_Toc6773"/>
      <w:bookmarkStart w:id="34" w:name="_Toc2918"/>
      <w:bookmarkStart w:id="35" w:name="_Toc18585"/>
      <w:bookmarkStart w:id="36" w:name="_Toc6311"/>
      <w:r>
        <w:rPr>
          <w:rFonts w:hint="eastAsia" w:ascii="宋体" w:hAnsi="宋体" w:eastAsia="宋体"/>
          <w:b/>
          <w:bCs/>
          <w:sz w:val="24"/>
          <w:lang w:val="zh-CN"/>
        </w:rPr>
        <w:t xml:space="preserve">1.2 </w:t>
      </w:r>
      <w:bookmarkEnd w:id="32"/>
      <w:bookmarkEnd w:id="33"/>
      <w:bookmarkEnd w:id="34"/>
      <w:bookmarkEnd w:id="35"/>
      <w:bookmarkEnd w:id="36"/>
      <w:r>
        <w:rPr>
          <w:rFonts w:hint="eastAsia" w:ascii="宋体" w:hAnsi="宋体" w:eastAsia="宋体"/>
          <w:b/>
          <w:bCs/>
          <w:sz w:val="24"/>
          <w:lang w:val="zh-CN"/>
        </w:rPr>
        <w:t>服务</w:t>
      </w:r>
    </w:p>
    <w:p w14:paraId="5F618A19">
      <w:pPr>
        <w:spacing w:line="360" w:lineRule="auto"/>
        <w:ind w:firstLine="435"/>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725855C7">
      <w:pPr>
        <w:spacing w:line="360" w:lineRule="auto"/>
        <w:ind w:firstLine="435"/>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15072C74">
      <w:pPr>
        <w:spacing w:line="360" w:lineRule="auto"/>
        <w:ind w:firstLine="435"/>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7C82D2AE">
      <w:pPr>
        <w:spacing w:line="360" w:lineRule="auto"/>
        <w:ind w:firstLine="437"/>
        <w:outlineLvl w:val="2"/>
        <w:rPr>
          <w:rFonts w:ascii="宋体" w:hAnsi="宋体" w:eastAsia="宋体"/>
          <w:b/>
          <w:bCs/>
          <w:sz w:val="24"/>
          <w:lang w:val="zh-CN"/>
        </w:rPr>
      </w:pPr>
      <w:bookmarkStart w:id="37" w:name="_Toc23292"/>
      <w:bookmarkStart w:id="38" w:name="_Toc21551"/>
      <w:bookmarkStart w:id="39" w:name="_Toc2163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37"/>
      <w:bookmarkEnd w:id="38"/>
      <w:bookmarkEnd w:id="39"/>
    </w:p>
    <w:p w14:paraId="12AC7B48">
      <w:pPr>
        <w:spacing w:line="360" w:lineRule="auto"/>
        <w:ind w:firstLine="435"/>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0B08F1CF">
      <w:pPr>
        <w:spacing w:line="360" w:lineRule="auto"/>
        <w:ind w:firstLine="435"/>
        <w:rPr>
          <w:rFonts w:ascii="宋体" w:hAnsi="宋体" w:eastAsia="宋体"/>
          <w:sz w:val="24"/>
          <w:u w:val="single"/>
        </w:rPr>
      </w:pPr>
      <w:r>
        <w:rPr>
          <w:rFonts w:ascii="宋体" w:hAnsi="宋体" w:eastAsia="宋体"/>
          <w:sz w:val="24"/>
        </w:rPr>
        <w:t>分项价格：</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7"/>
        <w:gridCol w:w="4316"/>
        <w:gridCol w:w="12"/>
        <w:gridCol w:w="3225"/>
        <w:gridCol w:w="12"/>
      </w:tblGrid>
      <w:tr w14:paraId="7FD77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vAlign w:val="center"/>
          </w:tcPr>
          <w:p w14:paraId="5969AFB5">
            <w:pPr>
              <w:jc w:val="center"/>
              <w:rPr>
                <w:rFonts w:ascii="宋体" w:hAnsi="宋体" w:eastAsia="宋体"/>
                <w:sz w:val="24"/>
                <w:lang w:val="zh-CN"/>
              </w:rPr>
            </w:pPr>
            <w:r>
              <w:rPr>
                <w:rFonts w:ascii="宋体" w:hAnsi="宋体" w:eastAsia="宋体"/>
                <w:sz w:val="24"/>
                <w:lang w:val="zh-CN"/>
              </w:rPr>
              <w:t>序号</w:t>
            </w:r>
          </w:p>
        </w:tc>
        <w:tc>
          <w:tcPr>
            <w:tcW w:w="4316" w:type="dxa"/>
            <w:vAlign w:val="center"/>
          </w:tcPr>
          <w:p w14:paraId="4F51FFCC">
            <w:pPr>
              <w:pStyle w:val="41"/>
              <w:ind w:firstLine="200"/>
              <w:jc w:val="center"/>
              <w:rPr>
                <w:rFonts w:ascii="宋体" w:hAnsi="宋体" w:eastAsia="宋体"/>
                <w:sz w:val="24"/>
                <w:szCs w:val="24"/>
              </w:rPr>
            </w:pPr>
            <w:r>
              <w:rPr>
                <w:rFonts w:hint="eastAsia" w:ascii="宋体" w:hAnsi="宋体" w:eastAsia="宋体"/>
                <w:sz w:val="24"/>
                <w:szCs w:val="24"/>
              </w:rPr>
              <w:t>分项名称</w:t>
            </w:r>
          </w:p>
        </w:tc>
        <w:tc>
          <w:tcPr>
            <w:tcW w:w="3237" w:type="dxa"/>
            <w:gridSpan w:val="2"/>
            <w:vAlign w:val="center"/>
          </w:tcPr>
          <w:p w14:paraId="6995D68A">
            <w:pPr>
              <w:pStyle w:val="41"/>
              <w:jc w:val="center"/>
              <w:rPr>
                <w:rFonts w:ascii="宋体" w:hAnsi="宋体" w:eastAsia="宋体"/>
                <w:sz w:val="24"/>
                <w:szCs w:val="24"/>
              </w:rPr>
            </w:pPr>
            <w:r>
              <w:rPr>
                <w:rFonts w:ascii="宋体" w:hAnsi="宋体" w:eastAsia="宋体"/>
                <w:sz w:val="24"/>
                <w:szCs w:val="24"/>
              </w:rPr>
              <w:t>分项价格</w:t>
            </w:r>
          </w:p>
        </w:tc>
      </w:tr>
      <w:tr w14:paraId="26615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508305D1">
            <w:pPr>
              <w:jc w:val="center"/>
              <w:rPr>
                <w:rFonts w:ascii="宋体" w:hAnsi="宋体" w:eastAsia="宋体"/>
                <w:sz w:val="24"/>
                <w:lang w:val="zh-CN"/>
              </w:rPr>
            </w:pPr>
            <w:r>
              <w:rPr>
                <w:rFonts w:hint="eastAsia" w:ascii="宋体" w:hAnsi="宋体" w:eastAsia="宋体"/>
                <w:sz w:val="24"/>
                <w:lang w:val="zh-CN"/>
              </w:rPr>
              <w:t>1</w:t>
            </w:r>
          </w:p>
        </w:tc>
        <w:tc>
          <w:tcPr>
            <w:tcW w:w="4316" w:type="dxa"/>
            <w:vAlign w:val="center"/>
          </w:tcPr>
          <w:p w14:paraId="32626948">
            <w:pPr>
              <w:pStyle w:val="41"/>
              <w:ind w:firstLine="200"/>
              <w:jc w:val="center"/>
              <w:rPr>
                <w:rFonts w:ascii="宋体" w:hAnsi="宋体" w:eastAsia="宋体"/>
                <w:sz w:val="24"/>
                <w:szCs w:val="24"/>
              </w:rPr>
            </w:pPr>
          </w:p>
        </w:tc>
        <w:tc>
          <w:tcPr>
            <w:tcW w:w="3237" w:type="dxa"/>
            <w:gridSpan w:val="2"/>
            <w:vAlign w:val="center"/>
          </w:tcPr>
          <w:p w14:paraId="08A79B7A">
            <w:pPr>
              <w:pStyle w:val="41"/>
              <w:ind w:firstLine="200"/>
              <w:jc w:val="center"/>
              <w:rPr>
                <w:rFonts w:ascii="宋体" w:hAnsi="宋体" w:eastAsia="宋体"/>
                <w:sz w:val="24"/>
                <w:szCs w:val="24"/>
              </w:rPr>
            </w:pPr>
          </w:p>
        </w:tc>
      </w:tr>
      <w:tr w14:paraId="06014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084FFF77">
            <w:pPr>
              <w:jc w:val="center"/>
              <w:rPr>
                <w:rFonts w:ascii="宋体" w:hAnsi="宋体" w:eastAsia="宋体"/>
                <w:sz w:val="24"/>
                <w:lang w:val="zh-CN"/>
              </w:rPr>
            </w:pPr>
            <w:r>
              <w:rPr>
                <w:rFonts w:hint="eastAsia" w:ascii="宋体" w:hAnsi="宋体" w:eastAsia="宋体"/>
                <w:sz w:val="24"/>
                <w:lang w:val="zh-CN"/>
              </w:rPr>
              <w:t>2</w:t>
            </w:r>
          </w:p>
        </w:tc>
        <w:tc>
          <w:tcPr>
            <w:tcW w:w="4316" w:type="dxa"/>
            <w:vAlign w:val="center"/>
          </w:tcPr>
          <w:p w14:paraId="7325FD9C">
            <w:pPr>
              <w:pStyle w:val="41"/>
              <w:ind w:firstLine="200"/>
              <w:jc w:val="center"/>
              <w:rPr>
                <w:rFonts w:ascii="宋体" w:hAnsi="宋体" w:eastAsia="宋体"/>
                <w:sz w:val="24"/>
                <w:szCs w:val="24"/>
              </w:rPr>
            </w:pPr>
          </w:p>
        </w:tc>
        <w:tc>
          <w:tcPr>
            <w:tcW w:w="3237" w:type="dxa"/>
            <w:gridSpan w:val="2"/>
            <w:vAlign w:val="center"/>
          </w:tcPr>
          <w:p w14:paraId="09B44CC6">
            <w:pPr>
              <w:pStyle w:val="41"/>
              <w:ind w:firstLine="200"/>
              <w:jc w:val="center"/>
              <w:rPr>
                <w:rFonts w:ascii="宋体" w:hAnsi="宋体" w:eastAsia="宋体"/>
                <w:sz w:val="24"/>
                <w:szCs w:val="24"/>
              </w:rPr>
            </w:pPr>
          </w:p>
        </w:tc>
      </w:tr>
      <w:tr w14:paraId="7FB68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BFB6FC8">
            <w:pPr>
              <w:jc w:val="center"/>
              <w:rPr>
                <w:rFonts w:ascii="宋体" w:hAnsi="宋体" w:eastAsia="宋体"/>
                <w:sz w:val="24"/>
                <w:lang w:val="zh-CN"/>
              </w:rPr>
            </w:pPr>
            <w:r>
              <w:rPr>
                <w:rFonts w:ascii="宋体" w:hAnsi="宋体" w:eastAsia="宋体"/>
                <w:sz w:val="24"/>
                <w:lang w:val="zh-CN"/>
              </w:rPr>
              <w:t>3</w:t>
            </w:r>
          </w:p>
        </w:tc>
        <w:tc>
          <w:tcPr>
            <w:tcW w:w="4316" w:type="dxa"/>
            <w:vAlign w:val="center"/>
          </w:tcPr>
          <w:p w14:paraId="72D69BD4">
            <w:pPr>
              <w:pStyle w:val="41"/>
              <w:ind w:firstLine="200"/>
              <w:jc w:val="center"/>
              <w:rPr>
                <w:rFonts w:ascii="宋体" w:hAnsi="宋体" w:eastAsia="宋体"/>
                <w:sz w:val="24"/>
                <w:szCs w:val="24"/>
              </w:rPr>
            </w:pPr>
          </w:p>
        </w:tc>
        <w:tc>
          <w:tcPr>
            <w:tcW w:w="3237" w:type="dxa"/>
            <w:gridSpan w:val="2"/>
            <w:vAlign w:val="center"/>
          </w:tcPr>
          <w:p w14:paraId="78F1AA32">
            <w:pPr>
              <w:pStyle w:val="41"/>
              <w:ind w:firstLine="200"/>
              <w:jc w:val="center"/>
              <w:rPr>
                <w:rFonts w:ascii="宋体" w:hAnsi="宋体" w:eastAsia="宋体"/>
                <w:sz w:val="24"/>
                <w:szCs w:val="24"/>
              </w:rPr>
            </w:pPr>
          </w:p>
        </w:tc>
      </w:tr>
      <w:tr w14:paraId="68560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69" w:hRule="atLeast"/>
          <w:jc w:val="center"/>
        </w:trPr>
        <w:tc>
          <w:tcPr>
            <w:tcW w:w="957" w:type="dxa"/>
          </w:tcPr>
          <w:p w14:paraId="49D93C08">
            <w:pPr>
              <w:jc w:val="center"/>
              <w:rPr>
                <w:rFonts w:ascii="宋体" w:hAnsi="宋体" w:eastAsia="宋体"/>
                <w:sz w:val="24"/>
                <w:lang w:val="zh-CN"/>
              </w:rPr>
            </w:pPr>
            <w:r>
              <w:rPr>
                <w:rFonts w:hint="eastAsia" w:ascii="宋体" w:hAnsi="宋体" w:eastAsia="宋体"/>
                <w:sz w:val="24"/>
                <w:lang w:val="zh-CN"/>
              </w:rPr>
              <w:t>……</w:t>
            </w:r>
          </w:p>
        </w:tc>
        <w:tc>
          <w:tcPr>
            <w:tcW w:w="4316" w:type="dxa"/>
            <w:vAlign w:val="center"/>
          </w:tcPr>
          <w:p w14:paraId="74FFEA71">
            <w:pPr>
              <w:pStyle w:val="41"/>
              <w:ind w:firstLine="200"/>
              <w:jc w:val="center"/>
              <w:rPr>
                <w:rFonts w:ascii="宋体" w:hAnsi="宋体" w:eastAsia="宋体"/>
                <w:sz w:val="24"/>
                <w:szCs w:val="24"/>
              </w:rPr>
            </w:pPr>
          </w:p>
        </w:tc>
        <w:tc>
          <w:tcPr>
            <w:tcW w:w="3237" w:type="dxa"/>
            <w:gridSpan w:val="2"/>
            <w:vAlign w:val="center"/>
          </w:tcPr>
          <w:p w14:paraId="698488B2">
            <w:pPr>
              <w:pStyle w:val="41"/>
              <w:ind w:firstLine="200"/>
              <w:jc w:val="center"/>
              <w:rPr>
                <w:rFonts w:ascii="宋体" w:hAnsi="宋体" w:eastAsia="宋体"/>
                <w:sz w:val="24"/>
                <w:szCs w:val="24"/>
              </w:rPr>
            </w:pPr>
          </w:p>
        </w:tc>
      </w:tr>
      <w:tr w14:paraId="13C2EB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5285" w:type="dxa"/>
            <w:gridSpan w:val="3"/>
            <w:vAlign w:val="center"/>
          </w:tcPr>
          <w:p w14:paraId="67FFAAC5">
            <w:pPr>
              <w:pStyle w:val="41"/>
              <w:ind w:firstLine="200"/>
              <w:jc w:val="center"/>
              <w:rPr>
                <w:rFonts w:ascii="宋体" w:hAnsi="宋体" w:eastAsia="宋体"/>
                <w:sz w:val="24"/>
                <w:szCs w:val="24"/>
              </w:rPr>
            </w:pPr>
            <w:r>
              <w:rPr>
                <w:rFonts w:hint="eastAsia" w:ascii="宋体" w:hAnsi="宋体" w:eastAsia="宋体"/>
                <w:sz w:val="24"/>
                <w:szCs w:val="24"/>
              </w:rPr>
              <w:t>总价</w:t>
            </w:r>
          </w:p>
        </w:tc>
        <w:tc>
          <w:tcPr>
            <w:tcW w:w="3237" w:type="dxa"/>
            <w:gridSpan w:val="2"/>
            <w:vAlign w:val="center"/>
          </w:tcPr>
          <w:p w14:paraId="72699754">
            <w:pPr>
              <w:pStyle w:val="41"/>
              <w:ind w:firstLine="200"/>
              <w:jc w:val="center"/>
              <w:rPr>
                <w:rFonts w:ascii="宋体" w:hAnsi="宋体" w:eastAsia="宋体"/>
                <w:sz w:val="24"/>
                <w:szCs w:val="24"/>
              </w:rPr>
            </w:pPr>
          </w:p>
        </w:tc>
      </w:tr>
    </w:tbl>
    <w:p w14:paraId="021F66A3">
      <w:pPr>
        <w:spacing w:line="360" w:lineRule="auto"/>
        <w:ind w:firstLine="437"/>
        <w:outlineLvl w:val="2"/>
        <w:rPr>
          <w:rFonts w:ascii="宋体" w:hAnsi="宋体" w:eastAsia="宋体"/>
          <w:b/>
          <w:bCs/>
          <w:sz w:val="24"/>
          <w:lang w:val="zh-CN"/>
        </w:rPr>
      </w:pPr>
      <w:bookmarkStart w:id="40" w:name="_Toc22618"/>
      <w:bookmarkStart w:id="41" w:name="_Toc10340"/>
      <w:bookmarkStart w:id="42" w:name="_Toc1814"/>
      <w:r>
        <w:rPr>
          <w:rFonts w:hint="eastAsia" w:ascii="宋体" w:hAnsi="宋体" w:eastAsia="宋体"/>
          <w:b/>
          <w:bCs/>
          <w:sz w:val="24"/>
          <w:lang w:val="zh-CN"/>
        </w:rPr>
        <w:t>1.</w:t>
      </w:r>
      <w:r>
        <w:rPr>
          <w:rFonts w:ascii="宋体" w:hAnsi="宋体" w:eastAsia="宋体"/>
          <w:b/>
          <w:bCs/>
          <w:sz w:val="24"/>
          <w:lang w:val="zh-CN"/>
        </w:rPr>
        <w:t>4 付款方式和发票开具方式</w:t>
      </w:r>
      <w:bookmarkEnd w:id="40"/>
      <w:bookmarkEnd w:id="41"/>
      <w:bookmarkEnd w:id="42"/>
    </w:p>
    <w:p w14:paraId="0288DA72">
      <w:pPr>
        <w:spacing w:line="360" w:lineRule="auto"/>
        <w:ind w:firstLine="435"/>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w:t>
      </w:r>
      <w:r>
        <w:rPr>
          <w:rFonts w:hint="eastAsia" w:ascii="宋体" w:hAnsi="宋体" w:eastAsia="宋体"/>
          <w:sz w:val="24"/>
        </w:rPr>
        <w:t>；</w:t>
      </w:r>
    </w:p>
    <w:p w14:paraId="73372324">
      <w:pPr>
        <w:spacing w:line="360" w:lineRule="auto"/>
        <w:ind w:firstLine="435"/>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4DB9F4EA">
      <w:pPr>
        <w:spacing w:line="360" w:lineRule="auto"/>
        <w:ind w:firstLine="437"/>
        <w:outlineLvl w:val="2"/>
        <w:rPr>
          <w:rFonts w:ascii="宋体" w:hAnsi="宋体" w:eastAsia="宋体"/>
          <w:b/>
          <w:bCs/>
          <w:sz w:val="24"/>
          <w:lang w:val="zh-CN"/>
        </w:rPr>
      </w:pPr>
      <w:bookmarkStart w:id="43" w:name="_Toc2846"/>
      <w:bookmarkStart w:id="44" w:name="_Toc19304"/>
      <w:bookmarkStart w:id="45" w:name="_Toc32071"/>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43"/>
      <w:bookmarkEnd w:id="44"/>
      <w:bookmarkEnd w:id="45"/>
    </w:p>
    <w:p w14:paraId="2607A213">
      <w:pPr>
        <w:spacing w:line="360" w:lineRule="auto"/>
        <w:ind w:firstLine="435"/>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601FB3A0">
      <w:pPr>
        <w:spacing w:line="360" w:lineRule="auto"/>
        <w:ind w:firstLine="435"/>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2239229C">
      <w:pPr>
        <w:spacing w:line="360" w:lineRule="auto"/>
        <w:ind w:firstLine="435"/>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00A93D26">
      <w:pPr>
        <w:spacing w:line="360" w:lineRule="auto"/>
        <w:ind w:firstLine="437"/>
        <w:outlineLvl w:val="2"/>
        <w:rPr>
          <w:rFonts w:ascii="宋体" w:hAnsi="宋体" w:eastAsia="宋体"/>
          <w:b/>
          <w:bCs/>
          <w:sz w:val="24"/>
          <w:lang w:val="zh-CN"/>
        </w:rPr>
      </w:pPr>
      <w:bookmarkStart w:id="46" w:name="_Toc27250"/>
      <w:bookmarkStart w:id="47" w:name="_Toc21423"/>
      <w:bookmarkStart w:id="48" w:name="_Toc19554"/>
      <w:r>
        <w:rPr>
          <w:rFonts w:hint="eastAsia" w:ascii="宋体" w:hAnsi="宋体" w:eastAsia="宋体"/>
          <w:b/>
          <w:bCs/>
          <w:sz w:val="24"/>
          <w:lang w:val="zh-CN"/>
        </w:rPr>
        <w:t>1.6 违约责任</w:t>
      </w:r>
      <w:bookmarkEnd w:id="46"/>
      <w:bookmarkEnd w:id="47"/>
      <w:bookmarkEnd w:id="48"/>
    </w:p>
    <w:p w14:paraId="33E71C88">
      <w:pPr>
        <w:spacing w:line="360" w:lineRule="auto"/>
        <w:ind w:firstLine="435"/>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hint="eastAsia" w:ascii="宋体" w:hAnsi="宋体" w:eastAsia="宋体"/>
          <w:sz w:val="24"/>
          <w:u w:val="single"/>
          <w:lang w:val="en-US" w:eastAsia="zh-CN"/>
        </w:rPr>
        <w:t>0.5</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hint="eastAsia" w:ascii="宋体" w:hAnsi="宋体" w:eastAsia="宋体"/>
          <w:sz w:val="24"/>
          <w:u w:val="single"/>
          <w:lang w:val="en-US" w:eastAsia="zh-CN"/>
        </w:rPr>
        <w:t>2.5</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76C8CD06">
      <w:pPr>
        <w:spacing w:line="360" w:lineRule="auto"/>
        <w:ind w:firstLine="435"/>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hint="eastAsia" w:ascii="宋体" w:hAnsi="宋体" w:eastAsia="宋体"/>
          <w:sz w:val="24"/>
          <w:u w:val="single"/>
          <w:lang w:val="en-US" w:eastAsia="zh-CN"/>
        </w:rPr>
        <w:t>0.5</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hint="eastAsia" w:ascii="宋体" w:hAnsi="宋体" w:eastAsia="宋体"/>
          <w:sz w:val="24"/>
          <w:u w:val="single"/>
          <w:lang w:val="en-US" w:eastAsia="zh-CN"/>
        </w:rPr>
        <w:t>2.5</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1078E41D">
      <w:pPr>
        <w:spacing w:line="360" w:lineRule="auto"/>
        <w:ind w:firstLine="435"/>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2FB85F1">
      <w:pPr>
        <w:spacing w:line="360" w:lineRule="auto"/>
        <w:ind w:firstLine="435"/>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02146447">
      <w:pPr>
        <w:spacing w:line="360" w:lineRule="auto"/>
        <w:ind w:firstLine="435"/>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206A1D66">
      <w:pPr>
        <w:spacing w:line="360" w:lineRule="auto"/>
        <w:ind w:firstLine="435"/>
        <w:rPr>
          <w:rFonts w:ascii="宋体" w:hAnsi="宋体" w:eastAsia="宋体"/>
          <w:sz w:val="24"/>
        </w:rPr>
      </w:pPr>
      <w:r>
        <w:rPr>
          <w:rFonts w:hint="eastAsia" w:ascii="宋体" w:hAnsi="宋体" w:eastAsia="宋体"/>
          <w:sz w:val="24"/>
        </w:rPr>
        <w:t>1.6.6如果出现监督管理部门在处理投诉事项期间，书面通知甲方暂停采购活动的情形，或者询问或质疑事项可能影响成交结果的，导致甲方中止履行合同的情形，均不视为甲方违约。</w:t>
      </w:r>
    </w:p>
    <w:p w14:paraId="1CC45227">
      <w:pPr>
        <w:spacing w:line="360" w:lineRule="auto"/>
        <w:ind w:firstLine="437"/>
        <w:outlineLvl w:val="2"/>
        <w:rPr>
          <w:rFonts w:ascii="宋体" w:hAnsi="宋体" w:eastAsia="宋体"/>
          <w:b/>
          <w:bCs/>
          <w:sz w:val="24"/>
          <w:lang w:val="zh-CN"/>
        </w:rPr>
      </w:pPr>
      <w:bookmarkStart w:id="49" w:name="_Toc16021"/>
      <w:bookmarkStart w:id="50" w:name="_Toc15583"/>
      <w:bookmarkStart w:id="51" w:name="_Toc28375"/>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49"/>
      <w:bookmarkEnd w:id="50"/>
      <w:bookmarkEnd w:id="51"/>
    </w:p>
    <w:p w14:paraId="5A2274D7">
      <w:pPr>
        <w:spacing w:line="360" w:lineRule="auto"/>
        <w:ind w:firstLine="435"/>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w:t>
      </w:r>
      <w:r>
        <w:rPr>
          <w:rFonts w:hint="eastAsia" w:ascii="宋体" w:hAnsi="宋体" w:eastAsia="宋体"/>
          <w:sz w:val="24"/>
        </w:rPr>
        <w:t>种方式解决：</w:t>
      </w:r>
    </w:p>
    <w:p w14:paraId="776019FC">
      <w:pPr>
        <w:spacing w:line="360" w:lineRule="auto"/>
        <w:ind w:firstLine="435"/>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w:t>
      </w:r>
      <w:r>
        <w:rPr>
          <w:rFonts w:hint="eastAsia" w:ascii="宋体" w:hAnsi="宋体" w:eastAsia="宋体"/>
          <w:sz w:val="24"/>
        </w:rPr>
        <w:t>仲裁委员会依申请仲裁时其现行有效的仲裁规则裁决；</w:t>
      </w:r>
    </w:p>
    <w:p w14:paraId="5D0B7DAF">
      <w:pPr>
        <w:spacing w:line="360" w:lineRule="auto"/>
        <w:ind w:firstLine="435"/>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27F4492A">
      <w:pPr>
        <w:spacing w:line="360" w:lineRule="auto"/>
        <w:ind w:firstLine="437"/>
        <w:outlineLvl w:val="2"/>
        <w:rPr>
          <w:rFonts w:ascii="宋体" w:hAnsi="宋体" w:eastAsia="宋体"/>
          <w:b/>
          <w:bCs/>
          <w:sz w:val="24"/>
          <w:lang w:val="zh-CN"/>
        </w:rPr>
      </w:pPr>
      <w:bookmarkStart w:id="52" w:name="_Toc11173"/>
      <w:bookmarkStart w:id="53" w:name="_Toc7245"/>
      <w:bookmarkStart w:id="54" w:name="_Toc15322"/>
      <w:r>
        <w:rPr>
          <w:rFonts w:hint="eastAsia" w:ascii="宋体" w:hAnsi="宋体" w:eastAsia="宋体"/>
          <w:b/>
          <w:bCs/>
          <w:sz w:val="24"/>
          <w:lang w:val="zh-CN"/>
        </w:rPr>
        <w:t>1.8</w:t>
      </w:r>
      <w:r>
        <w:rPr>
          <w:rFonts w:ascii="宋体" w:hAnsi="宋体" w:eastAsia="宋体"/>
          <w:b/>
          <w:bCs/>
          <w:sz w:val="24"/>
          <w:lang w:val="zh-CN"/>
        </w:rPr>
        <w:t xml:space="preserve"> 合同生效</w:t>
      </w:r>
      <w:bookmarkEnd w:id="52"/>
      <w:bookmarkEnd w:id="53"/>
      <w:bookmarkEnd w:id="54"/>
    </w:p>
    <w:p w14:paraId="571320F2">
      <w:pPr>
        <w:spacing w:line="360" w:lineRule="auto"/>
        <w:ind w:firstLine="435"/>
        <w:rPr>
          <w:rFonts w:ascii="宋体" w:hAnsi="宋体" w:eastAsia="宋体"/>
          <w:sz w:val="24"/>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3A5B4FEA">
      <w:pPr>
        <w:autoSpaceDE w:val="0"/>
        <w:autoSpaceDN w:val="0"/>
        <w:adjustRightInd w:val="0"/>
        <w:spacing w:line="560" w:lineRule="exact"/>
        <w:rPr>
          <w:rFonts w:ascii="宋体" w:hAnsi="宋体" w:eastAsia="宋体"/>
          <w:sz w:val="24"/>
          <w:lang w:val="zh-CN"/>
        </w:rPr>
      </w:pPr>
    </w:p>
    <w:p w14:paraId="701519A0">
      <w:pPr>
        <w:autoSpaceDE w:val="0"/>
        <w:autoSpaceDN w:val="0"/>
        <w:adjustRightInd w:val="0"/>
        <w:spacing w:line="560" w:lineRule="exact"/>
        <w:rPr>
          <w:rFonts w:ascii="宋体" w:hAnsi="宋体" w:eastAsia="宋体"/>
          <w:sz w:val="24"/>
          <w:lang w:val="zh-CN"/>
        </w:rPr>
      </w:pPr>
    </w:p>
    <w:p w14:paraId="1FB309F0">
      <w:pPr>
        <w:autoSpaceDE w:val="0"/>
        <w:autoSpaceDN w:val="0"/>
        <w:adjustRightInd w:val="0"/>
        <w:spacing w:line="560" w:lineRule="exact"/>
        <w:rPr>
          <w:rFonts w:ascii="宋体" w:hAnsi="宋体" w:eastAsia="宋体"/>
          <w:sz w:val="24"/>
          <w:lang w:val="zh-CN"/>
        </w:rPr>
      </w:pPr>
    </w:p>
    <w:p w14:paraId="2EB0A772">
      <w:pPr>
        <w:autoSpaceDE w:val="0"/>
        <w:autoSpaceDN w:val="0"/>
        <w:adjustRightInd w:val="0"/>
        <w:spacing w:line="560" w:lineRule="exact"/>
        <w:rPr>
          <w:rFonts w:ascii="宋体" w:hAnsi="宋体" w:eastAsia="宋体"/>
          <w:bCs/>
          <w:sz w:val="24"/>
          <w:lang w:val="zh-CN"/>
        </w:rPr>
      </w:pPr>
      <w:r>
        <w:rPr>
          <w:rFonts w:hint="eastAsia" w:ascii="宋体" w:hAnsi="宋体" w:eastAsia="宋体"/>
          <w:bCs/>
          <w:sz w:val="24"/>
          <w:lang w:val="zh-CN"/>
        </w:rPr>
        <w:t xml:space="preserve">甲 </w:t>
      </w:r>
      <w:r>
        <w:rPr>
          <w:rFonts w:ascii="宋体" w:hAnsi="宋体" w:eastAsia="宋体"/>
          <w:bCs/>
          <w:sz w:val="24"/>
          <w:lang w:val="zh-CN"/>
        </w:rPr>
        <w:t xml:space="preserve">   </w:t>
      </w:r>
      <w:r>
        <w:rPr>
          <w:rFonts w:hint="eastAsia" w:ascii="宋体" w:hAnsi="宋体" w:eastAsia="宋体"/>
          <w:bCs/>
          <w:sz w:val="24"/>
          <w:lang w:val="zh-CN"/>
        </w:rPr>
        <w:t>方：</w:t>
      </w:r>
      <w:r>
        <w:rPr>
          <w:rFonts w:hint="eastAsia" w:ascii="宋体" w:hAnsi="宋体" w:eastAsia="宋体"/>
          <w:bCs/>
          <w:sz w:val="24"/>
          <w:u w:val="single"/>
          <w:lang w:val="zh-CN"/>
        </w:rPr>
        <w:t xml:space="preserve">    （单位盖章）     </w:t>
      </w:r>
      <w:r>
        <w:rPr>
          <w:rFonts w:hint="eastAsia" w:ascii="宋体" w:hAnsi="宋体" w:eastAsia="宋体"/>
          <w:bCs/>
          <w:sz w:val="24"/>
          <w:lang w:val="zh-CN"/>
        </w:rPr>
        <w:t xml:space="preserve">          乙方：</w:t>
      </w:r>
      <w:r>
        <w:rPr>
          <w:rFonts w:hint="eastAsia" w:ascii="宋体" w:hAnsi="宋体" w:eastAsia="宋体"/>
          <w:bCs/>
          <w:sz w:val="24"/>
          <w:u w:val="single"/>
          <w:lang w:val="zh-CN"/>
        </w:rPr>
        <w:t xml:space="preserve">    （单位盖章）     </w:t>
      </w:r>
    </w:p>
    <w:p w14:paraId="37CD2303">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 xml:space="preserve">法定代表人                             </w:t>
      </w:r>
      <w:r>
        <w:rPr>
          <w:rFonts w:ascii="宋体" w:hAnsi="宋体" w:eastAsia="宋体"/>
          <w:sz w:val="24"/>
          <w:lang w:val="zh-CN"/>
        </w:rPr>
        <w:t xml:space="preserve">  </w:t>
      </w:r>
      <w:r>
        <w:rPr>
          <w:rFonts w:hint="eastAsia" w:ascii="宋体" w:hAnsi="宋体" w:eastAsia="宋体"/>
          <w:sz w:val="24"/>
          <w:lang w:val="zh-CN"/>
        </w:rPr>
        <w:t>法定代表人</w:t>
      </w:r>
    </w:p>
    <w:p w14:paraId="663AA662">
      <w:pPr>
        <w:autoSpaceDE w:val="0"/>
        <w:autoSpaceDN w:val="0"/>
        <w:adjustRightInd w:val="0"/>
        <w:spacing w:line="560" w:lineRule="exact"/>
        <w:rPr>
          <w:rFonts w:ascii="宋体" w:hAnsi="宋体" w:eastAsia="宋体"/>
          <w:sz w:val="24"/>
          <w:lang w:val="zh-CN"/>
        </w:rPr>
      </w:pPr>
      <w:r>
        <w:rPr>
          <w:rFonts w:hint="eastAsia" w:ascii="宋体" w:hAnsi="宋体" w:eastAsia="宋体"/>
          <w:sz w:val="24"/>
          <w:lang w:val="zh-CN"/>
        </w:rPr>
        <w:t>或授权代表（签字）：                      或授权代表（签字）：</w:t>
      </w:r>
    </w:p>
    <w:p w14:paraId="2F73FEC3">
      <w:pPr>
        <w:widowControl/>
        <w:spacing w:line="560" w:lineRule="exact"/>
        <w:jc w:val="left"/>
        <w:rPr>
          <w:rFonts w:ascii="宋体" w:hAnsi="宋体" w:eastAsia="宋体"/>
          <w:bCs/>
          <w:sz w:val="24"/>
        </w:rPr>
      </w:pPr>
      <w:bookmarkStart w:id="55" w:name="_Toc331685783"/>
      <w:r>
        <w:rPr>
          <w:rFonts w:hint="eastAsia" w:ascii="宋体" w:hAnsi="宋体" w:eastAsia="宋体"/>
          <w:bCs/>
          <w:sz w:val="24"/>
        </w:rPr>
        <w:t>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               时间：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年</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月</w:t>
      </w:r>
      <w:r>
        <w:rPr>
          <w:rFonts w:hint="eastAsia" w:ascii="宋体" w:hAnsi="宋体" w:eastAsia="宋体"/>
          <w:bCs/>
          <w:sz w:val="24"/>
          <w:u w:val="single"/>
        </w:rPr>
        <w:t xml:space="preserve"> </w:t>
      </w:r>
      <w:r>
        <w:rPr>
          <w:rFonts w:ascii="宋体" w:hAnsi="宋体" w:eastAsia="宋体"/>
          <w:bCs/>
          <w:sz w:val="24"/>
          <w:u w:val="single"/>
        </w:rPr>
        <w:t xml:space="preserve"> </w:t>
      </w:r>
      <w:r>
        <w:rPr>
          <w:rFonts w:hint="eastAsia" w:ascii="宋体" w:hAnsi="宋体" w:eastAsia="宋体"/>
          <w:bCs/>
          <w:sz w:val="24"/>
          <w:u w:val="single"/>
        </w:rPr>
        <w:t xml:space="preserve">  </w:t>
      </w:r>
      <w:r>
        <w:rPr>
          <w:rFonts w:hint="eastAsia" w:ascii="宋体" w:hAnsi="宋体" w:eastAsia="宋体"/>
          <w:bCs/>
          <w:sz w:val="24"/>
        </w:rPr>
        <w:t>日</w:t>
      </w:r>
    </w:p>
    <w:p w14:paraId="26278EF1">
      <w:pPr>
        <w:widowControl/>
        <w:jc w:val="left"/>
        <w:rPr>
          <w:rFonts w:ascii="宋体" w:hAnsi="宋体" w:eastAsia="宋体"/>
          <w:b/>
          <w:sz w:val="24"/>
        </w:rPr>
      </w:pPr>
      <w:r>
        <w:rPr>
          <w:rFonts w:ascii="宋体" w:hAnsi="宋体" w:eastAsia="宋体"/>
          <w:b/>
          <w:sz w:val="24"/>
        </w:rPr>
        <w:br w:type="page"/>
      </w:r>
    </w:p>
    <w:p w14:paraId="4F54A046">
      <w:pPr>
        <w:spacing w:line="360" w:lineRule="auto"/>
        <w:jc w:val="center"/>
        <w:outlineLvl w:val="1"/>
        <w:rPr>
          <w:rFonts w:ascii="宋体" w:hAnsi="宋体" w:eastAsia="宋体"/>
          <w:b/>
          <w:sz w:val="24"/>
        </w:rPr>
      </w:pPr>
      <w:bookmarkStart w:id="56" w:name="_Toc1220"/>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55"/>
      <w:bookmarkEnd w:id="56"/>
    </w:p>
    <w:p w14:paraId="347A6B82">
      <w:pPr>
        <w:spacing w:line="360" w:lineRule="auto"/>
        <w:ind w:firstLine="437"/>
        <w:outlineLvl w:val="2"/>
        <w:rPr>
          <w:rFonts w:ascii="宋体" w:hAnsi="宋体" w:eastAsia="宋体"/>
          <w:b/>
          <w:bCs/>
          <w:sz w:val="24"/>
          <w:lang w:val="zh-CN"/>
        </w:rPr>
      </w:pPr>
      <w:bookmarkStart w:id="57" w:name="_Ref467379225"/>
      <w:bookmarkStart w:id="58" w:name="_Ref467379205"/>
      <w:bookmarkStart w:id="59" w:name="_Toc259093669"/>
      <w:bookmarkStart w:id="60" w:name="_Ref467379094"/>
      <w:bookmarkStart w:id="61" w:name="_Ref467378463"/>
      <w:bookmarkStart w:id="62" w:name="_Ref467379195"/>
      <w:bookmarkStart w:id="63" w:name="_Ref467379214"/>
      <w:bookmarkStart w:id="64" w:name="_Ref467379101"/>
      <w:bookmarkStart w:id="65" w:name="_Toc487900349"/>
      <w:bookmarkStart w:id="66" w:name="_Toc279701240"/>
      <w:bookmarkStart w:id="67" w:name="_Toc28763"/>
      <w:bookmarkStart w:id="68" w:name="_Ref467378499"/>
      <w:bookmarkStart w:id="69" w:name="_Toc16917"/>
      <w:bookmarkStart w:id="70" w:name="_Toc19614"/>
      <w:bookmarkStart w:id="71" w:name="_Ref467378404"/>
      <w:bookmarkStart w:id="72" w:name="_Ref467379109"/>
      <w:r>
        <w:rPr>
          <w:rFonts w:hint="eastAsia" w:ascii="宋体" w:hAnsi="宋体" w:eastAsia="宋体"/>
          <w:b/>
          <w:bCs/>
          <w:sz w:val="24"/>
          <w:lang w:val="zh-CN"/>
        </w:rPr>
        <w:t>2.1</w:t>
      </w:r>
      <w:r>
        <w:rPr>
          <w:rFonts w:ascii="宋体" w:hAnsi="宋体" w:eastAsia="宋体"/>
          <w:b/>
          <w:bCs/>
          <w:sz w:val="24"/>
          <w:lang w:val="zh-CN"/>
        </w:rPr>
        <w:t xml:space="preserve"> 定义</w:t>
      </w:r>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5C3B855C">
      <w:pPr>
        <w:spacing w:line="360" w:lineRule="auto"/>
        <w:ind w:firstLine="435"/>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66B8CFC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14:paraId="66AF0EB8">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14:paraId="20663D63">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除货物和工程以外的其他采购对象，包括采购人自身需要的服务和向社会公众提供的公共服务。</w:t>
      </w:r>
    </w:p>
    <w:p w14:paraId="0CDB50FA">
      <w:pPr>
        <w:spacing w:line="360" w:lineRule="auto"/>
        <w:ind w:firstLine="435"/>
        <w:rPr>
          <w:rFonts w:ascii="宋体" w:hAnsi="宋体" w:eastAsia="宋体"/>
          <w:sz w:val="24"/>
        </w:rPr>
      </w:pPr>
      <w:bookmarkStart w:id="73"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bookmarkEnd w:id="73"/>
      <w:r>
        <w:rPr>
          <w:rFonts w:hint="eastAsia" w:ascii="宋体" w:hAnsi="宋体" w:eastAsia="宋体"/>
          <w:sz w:val="24"/>
        </w:rPr>
        <w:t>；采购人委托采购代理机构代表其与乙方签订合同的，采购人的授权委托书作为合同附件。</w:t>
      </w:r>
    </w:p>
    <w:p w14:paraId="6A6C3735">
      <w:pPr>
        <w:spacing w:line="360" w:lineRule="auto"/>
        <w:ind w:firstLine="435"/>
        <w:rPr>
          <w:rFonts w:ascii="宋体" w:hAnsi="宋体" w:eastAsia="宋体"/>
          <w:sz w:val="24"/>
        </w:rPr>
      </w:pPr>
      <w:bookmarkStart w:id="74"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bookmarkEnd w:id="74"/>
      <w:r>
        <w:rPr>
          <w:rFonts w:hint="eastAsia" w:ascii="宋体" w:hAnsi="宋体" w:eastAsia="宋体"/>
          <w:sz w:val="24"/>
        </w:rPr>
        <w:t>；两个以上的自然人、法人或者其他组织组成一个联合体，以一个供应商的身份共同参加采购的，联合体各方均应为乙方或者与乙方相同地位的合同当事人，并就合同约定的事项对甲方承担连带责任。</w:t>
      </w:r>
    </w:p>
    <w:p w14:paraId="59E1D27F">
      <w:pPr>
        <w:spacing w:line="360" w:lineRule="auto"/>
        <w:ind w:firstLine="435"/>
        <w:rPr>
          <w:rFonts w:ascii="宋体" w:hAnsi="宋体" w:eastAsia="宋体"/>
          <w:sz w:val="24"/>
        </w:rPr>
      </w:pPr>
      <w:bookmarkStart w:id="75"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75"/>
    </w:p>
    <w:p w14:paraId="36B56028">
      <w:pPr>
        <w:spacing w:line="360" w:lineRule="auto"/>
        <w:ind w:firstLine="437"/>
        <w:outlineLvl w:val="2"/>
        <w:rPr>
          <w:rFonts w:ascii="宋体" w:hAnsi="宋体" w:eastAsia="宋体"/>
          <w:b/>
          <w:bCs/>
          <w:sz w:val="24"/>
          <w:lang w:val="zh-CN"/>
        </w:rPr>
      </w:pPr>
      <w:bookmarkStart w:id="76" w:name="_Toc13336"/>
      <w:bookmarkStart w:id="77" w:name="_Toc279701241"/>
      <w:bookmarkStart w:id="78" w:name="_Toc259093670"/>
      <w:bookmarkStart w:id="79" w:name="_Toc32504"/>
      <w:bookmarkStart w:id="80" w:name="_Toc487900350"/>
      <w:bookmarkStart w:id="81" w:name="_Toc27635"/>
      <w:r>
        <w:rPr>
          <w:rFonts w:hint="eastAsia" w:ascii="宋体" w:hAnsi="宋体" w:eastAsia="宋体"/>
          <w:b/>
          <w:bCs/>
          <w:sz w:val="24"/>
          <w:lang w:val="zh-CN"/>
        </w:rPr>
        <w:t>2.</w:t>
      </w:r>
      <w:r>
        <w:rPr>
          <w:rFonts w:ascii="宋体" w:hAnsi="宋体" w:eastAsia="宋体"/>
          <w:b/>
          <w:bCs/>
          <w:sz w:val="24"/>
          <w:lang w:val="zh-CN"/>
        </w:rPr>
        <w:t>2 技术规范</w:t>
      </w:r>
      <w:bookmarkEnd w:id="76"/>
      <w:bookmarkEnd w:id="77"/>
      <w:bookmarkEnd w:id="78"/>
      <w:bookmarkEnd w:id="79"/>
      <w:bookmarkEnd w:id="80"/>
      <w:bookmarkEnd w:id="81"/>
    </w:p>
    <w:p w14:paraId="3FFCEAB3">
      <w:pPr>
        <w:spacing w:line="360" w:lineRule="auto"/>
        <w:ind w:firstLine="435"/>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6496BA75">
      <w:pPr>
        <w:spacing w:line="360" w:lineRule="auto"/>
        <w:ind w:firstLine="437"/>
        <w:outlineLvl w:val="2"/>
        <w:rPr>
          <w:rFonts w:ascii="宋体" w:hAnsi="宋体" w:eastAsia="宋体"/>
          <w:b/>
          <w:bCs/>
          <w:sz w:val="24"/>
          <w:lang w:val="zh-CN"/>
        </w:rPr>
      </w:pPr>
      <w:bookmarkStart w:id="82" w:name="_Toc487900351"/>
      <w:bookmarkStart w:id="83" w:name="_Toc9829"/>
      <w:bookmarkStart w:id="84" w:name="_Toc259093671"/>
      <w:bookmarkStart w:id="85" w:name="_Toc31634"/>
      <w:bookmarkStart w:id="86" w:name="_Toc279701242"/>
      <w:bookmarkStart w:id="87" w:name="_Toc27853"/>
      <w:r>
        <w:rPr>
          <w:rFonts w:hint="eastAsia" w:ascii="宋体" w:hAnsi="宋体" w:eastAsia="宋体"/>
          <w:b/>
          <w:bCs/>
          <w:sz w:val="24"/>
          <w:lang w:val="zh-CN"/>
        </w:rPr>
        <w:t>2.</w:t>
      </w:r>
      <w:r>
        <w:rPr>
          <w:rFonts w:ascii="宋体" w:hAnsi="宋体" w:eastAsia="宋体"/>
          <w:b/>
          <w:bCs/>
          <w:sz w:val="24"/>
          <w:lang w:val="zh-CN"/>
        </w:rPr>
        <w:t>3 知识产权</w:t>
      </w:r>
      <w:bookmarkEnd w:id="82"/>
      <w:bookmarkEnd w:id="83"/>
      <w:bookmarkEnd w:id="84"/>
      <w:bookmarkEnd w:id="85"/>
      <w:bookmarkEnd w:id="86"/>
      <w:bookmarkEnd w:id="87"/>
    </w:p>
    <w:p w14:paraId="65B739AE">
      <w:pPr>
        <w:spacing w:line="360" w:lineRule="auto"/>
        <w:ind w:firstLine="435"/>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47A51979">
      <w:pPr>
        <w:spacing w:line="360" w:lineRule="auto"/>
        <w:ind w:firstLine="435"/>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16BD95A1">
      <w:pPr>
        <w:spacing w:line="360" w:lineRule="auto"/>
        <w:ind w:firstLine="437"/>
        <w:outlineLvl w:val="2"/>
        <w:rPr>
          <w:rFonts w:ascii="宋体" w:hAnsi="宋体" w:eastAsia="宋体"/>
          <w:b/>
          <w:bCs/>
          <w:sz w:val="24"/>
          <w:lang w:val="zh-CN"/>
        </w:rPr>
      </w:pPr>
      <w:bookmarkStart w:id="88" w:name="_Ref467379536"/>
      <w:bookmarkStart w:id="89" w:name="_Ref467379542"/>
      <w:bookmarkStart w:id="90" w:name="_Toc279701245"/>
      <w:bookmarkStart w:id="91" w:name="_Ref467378541"/>
      <w:bookmarkStart w:id="92" w:name="_Ref467379527"/>
      <w:bookmarkStart w:id="93" w:name="_Toc259093674"/>
      <w:bookmarkStart w:id="94" w:name="_Ref467378591"/>
      <w:bookmarkStart w:id="95" w:name="_Toc487900354"/>
      <w:bookmarkStart w:id="96" w:name="_Toc30272"/>
      <w:bookmarkStart w:id="97" w:name="_Toc26182"/>
      <w:bookmarkStart w:id="98" w:name="_Toc19074"/>
      <w:r>
        <w:rPr>
          <w:rFonts w:hint="eastAsia" w:ascii="宋体" w:hAnsi="宋体" w:eastAsia="宋体"/>
          <w:b/>
          <w:bCs/>
          <w:sz w:val="24"/>
          <w:lang w:val="zh-CN"/>
        </w:rPr>
        <w:t>2.</w:t>
      </w:r>
      <w:bookmarkEnd w:id="88"/>
      <w:bookmarkEnd w:id="89"/>
      <w:bookmarkEnd w:id="90"/>
      <w:bookmarkEnd w:id="91"/>
      <w:bookmarkEnd w:id="92"/>
      <w:bookmarkEnd w:id="93"/>
      <w:bookmarkEnd w:id="94"/>
      <w:bookmarkEnd w:id="95"/>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96"/>
      <w:bookmarkEnd w:id="97"/>
      <w:bookmarkEnd w:id="98"/>
    </w:p>
    <w:p w14:paraId="62934B9C">
      <w:pPr>
        <w:spacing w:line="360" w:lineRule="auto"/>
        <w:ind w:firstLine="435"/>
        <w:rPr>
          <w:rFonts w:ascii="宋体" w:hAnsi="宋体" w:eastAsia="宋体"/>
          <w:sz w:val="24"/>
        </w:rPr>
      </w:pPr>
      <w:bookmarkStart w:id="99" w:name="_Toc186431854"/>
      <w:bookmarkStart w:id="100" w:name="_Toc487900357"/>
      <w:bookmarkStart w:id="101" w:name="_Toc259093676"/>
      <w:bookmarkStart w:id="102" w:name="_Toc279701247"/>
      <w:bookmarkStart w:id="103" w:name="_Ref467379793"/>
      <w:bookmarkStart w:id="104" w:name="_Ref467379807"/>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14:paraId="18E1DF74">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99"/>
      <w:bookmarkStart w:id="105" w:name="_Toc186431855"/>
      <w:r>
        <w:rPr>
          <w:rFonts w:hint="eastAsia" w:ascii="宋体" w:hAnsi="宋体" w:eastAsia="宋体"/>
          <w:sz w:val="24"/>
        </w:rPr>
        <w:t>。</w:t>
      </w:r>
    </w:p>
    <w:bookmarkEnd w:id="105"/>
    <w:p w14:paraId="0BD71E58">
      <w:pPr>
        <w:spacing w:line="360" w:lineRule="auto"/>
        <w:ind w:firstLine="437"/>
        <w:outlineLvl w:val="2"/>
        <w:rPr>
          <w:rFonts w:ascii="宋体" w:hAnsi="宋体" w:eastAsia="宋体"/>
          <w:b/>
          <w:bCs/>
          <w:sz w:val="24"/>
          <w:lang w:val="zh-CN"/>
        </w:rPr>
      </w:pPr>
      <w:bookmarkStart w:id="106" w:name="_Toc28451"/>
      <w:bookmarkStart w:id="107" w:name="_Toc7836"/>
      <w:bookmarkStart w:id="108" w:name="_Toc19219"/>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100"/>
      <w:bookmarkEnd w:id="101"/>
      <w:bookmarkEnd w:id="102"/>
      <w:bookmarkEnd w:id="103"/>
      <w:bookmarkEnd w:id="104"/>
      <w:bookmarkEnd w:id="106"/>
      <w:bookmarkEnd w:id="107"/>
      <w:bookmarkEnd w:id="108"/>
    </w:p>
    <w:p w14:paraId="4FCA75B6">
      <w:pPr>
        <w:spacing w:line="360" w:lineRule="auto"/>
        <w:ind w:firstLine="435"/>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63CE0BE1">
      <w:pPr>
        <w:spacing w:line="360" w:lineRule="auto"/>
        <w:ind w:firstLine="437"/>
        <w:outlineLvl w:val="2"/>
        <w:rPr>
          <w:rFonts w:ascii="宋体" w:hAnsi="宋体" w:eastAsia="宋体"/>
          <w:b/>
          <w:bCs/>
          <w:sz w:val="24"/>
          <w:lang w:val="zh-CN"/>
        </w:rPr>
      </w:pPr>
      <w:bookmarkStart w:id="109" w:name="_Toc279701248"/>
      <w:bookmarkStart w:id="110" w:name="_Toc259093677"/>
      <w:bookmarkStart w:id="111" w:name="_Ref467379852"/>
      <w:bookmarkStart w:id="112" w:name="_Toc487900358"/>
      <w:bookmarkStart w:id="113" w:name="_Ref467379863"/>
      <w:bookmarkStart w:id="114" w:name="_Ref467379923"/>
      <w:bookmarkStart w:id="115" w:name="_Toc3225"/>
      <w:bookmarkStart w:id="116" w:name="_Toc16110"/>
      <w:bookmarkStart w:id="117" w:name="_Toc774"/>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109"/>
      <w:bookmarkEnd w:id="110"/>
      <w:bookmarkEnd w:id="111"/>
      <w:bookmarkEnd w:id="112"/>
      <w:bookmarkEnd w:id="113"/>
      <w:bookmarkEnd w:id="114"/>
      <w:r>
        <w:rPr>
          <w:rFonts w:ascii="宋体" w:hAnsi="宋体" w:eastAsia="宋体"/>
          <w:b/>
          <w:bCs/>
          <w:sz w:val="24"/>
          <w:lang w:val="zh-CN"/>
        </w:rPr>
        <w:t>和保密义务</w:t>
      </w:r>
      <w:bookmarkEnd w:id="115"/>
      <w:bookmarkEnd w:id="116"/>
      <w:bookmarkEnd w:id="117"/>
    </w:p>
    <w:p w14:paraId="57ED870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14:paraId="1F63A3A2">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14:paraId="18D62A1F">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05311B1E">
      <w:pPr>
        <w:spacing w:line="360" w:lineRule="auto"/>
        <w:ind w:firstLine="437"/>
        <w:outlineLvl w:val="2"/>
        <w:rPr>
          <w:rFonts w:ascii="宋体" w:hAnsi="宋体" w:eastAsia="宋体"/>
          <w:b/>
          <w:bCs/>
          <w:sz w:val="24"/>
          <w:lang w:val="zh-CN"/>
        </w:rPr>
      </w:pPr>
      <w:bookmarkStart w:id="118" w:name="_Toc7860"/>
      <w:r>
        <w:rPr>
          <w:rFonts w:ascii="宋体" w:hAnsi="宋体" w:eastAsia="宋体"/>
          <w:b/>
          <w:bCs/>
          <w:sz w:val="24"/>
          <w:lang w:val="zh-CN"/>
        </w:rPr>
        <w:t>2.7 质量保证</w:t>
      </w:r>
      <w:bookmarkEnd w:id="118"/>
    </w:p>
    <w:p w14:paraId="7C55D597">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14:paraId="1B3F63D6">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14:paraId="115180A3">
      <w:pPr>
        <w:spacing w:line="360" w:lineRule="auto"/>
        <w:ind w:firstLine="437"/>
        <w:outlineLvl w:val="2"/>
        <w:rPr>
          <w:rFonts w:ascii="宋体" w:hAnsi="宋体" w:eastAsia="宋体"/>
          <w:b/>
          <w:sz w:val="24"/>
        </w:rPr>
      </w:pPr>
      <w:bookmarkStart w:id="119" w:name="_Toc22267"/>
      <w:r>
        <w:rPr>
          <w:rFonts w:hint="eastAsia" w:ascii="宋体" w:hAnsi="宋体" w:eastAsia="宋体"/>
          <w:b/>
          <w:sz w:val="24"/>
        </w:rPr>
        <w:t>2.8 延迟履行</w:t>
      </w:r>
      <w:bookmarkEnd w:id="119"/>
    </w:p>
    <w:p w14:paraId="7329471A">
      <w:pPr>
        <w:spacing w:line="360" w:lineRule="auto"/>
        <w:ind w:firstLine="435"/>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69851E1D">
      <w:pPr>
        <w:spacing w:line="360" w:lineRule="auto"/>
        <w:ind w:firstLine="437"/>
        <w:outlineLvl w:val="2"/>
        <w:rPr>
          <w:rFonts w:ascii="宋体" w:hAnsi="宋体" w:eastAsia="宋体"/>
          <w:b/>
          <w:bCs/>
          <w:sz w:val="24"/>
          <w:lang w:val="zh-CN"/>
        </w:rPr>
      </w:pPr>
      <w:bookmarkStart w:id="120" w:name="_Toc7502"/>
      <w:bookmarkStart w:id="121" w:name="_Toc487900364"/>
      <w:bookmarkStart w:id="122" w:name="_Toc279701254"/>
      <w:bookmarkStart w:id="123" w:name="_Ref467378121"/>
      <w:bookmarkStart w:id="124" w:name="_Toc259093683"/>
      <w:r>
        <w:rPr>
          <w:rFonts w:ascii="宋体" w:hAnsi="宋体" w:eastAsia="宋体"/>
          <w:b/>
          <w:bCs/>
          <w:sz w:val="24"/>
          <w:lang w:val="zh-CN"/>
        </w:rPr>
        <w:t>2.9 合同变更</w:t>
      </w:r>
      <w:bookmarkEnd w:id="120"/>
    </w:p>
    <w:p w14:paraId="22D2371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14:paraId="446C3A32">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25" w:name="_Toc279701259"/>
      <w:bookmarkStart w:id="126" w:name="_Toc259093688"/>
      <w:bookmarkStart w:id="127" w:name="_Toc487900369"/>
    </w:p>
    <w:p w14:paraId="411C66BB">
      <w:pPr>
        <w:spacing w:line="360" w:lineRule="auto"/>
        <w:ind w:firstLine="437"/>
        <w:outlineLvl w:val="2"/>
        <w:rPr>
          <w:rFonts w:ascii="宋体" w:hAnsi="宋体" w:eastAsia="宋体"/>
          <w:b/>
          <w:bCs/>
          <w:sz w:val="24"/>
          <w:lang w:val="zh-CN"/>
        </w:rPr>
      </w:pPr>
      <w:bookmarkStart w:id="128" w:name="_Toc10366"/>
      <w:bookmarkStart w:id="129" w:name="_Toc15237"/>
      <w:bookmarkStart w:id="130" w:name="_Toc22955"/>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25"/>
      <w:bookmarkEnd w:id="126"/>
      <w:bookmarkEnd w:id="127"/>
      <w:r>
        <w:rPr>
          <w:rFonts w:ascii="宋体" w:hAnsi="宋体" w:eastAsia="宋体"/>
          <w:b/>
          <w:bCs/>
          <w:sz w:val="24"/>
          <w:lang w:val="zh-CN"/>
        </w:rPr>
        <w:t>和分包</w:t>
      </w:r>
      <w:bookmarkEnd w:id="128"/>
      <w:bookmarkEnd w:id="129"/>
      <w:bookmarkEnd w:id="130"/>
    </w:p>
    <w:p w14:paraId="4CB9485A">
      <w:pPr>
        <w:spacing w:line="360" w:lineRule="auto"/>
        <w:ind w:firstLine="435"/>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40F508CF">
      <w:pPr>
        <w:spacing w:line="360" w:lineRule="auto"/>
        <w:ind w:firstLine="437"/>
        <w:outlineLvl w:val="2"/>
        <w:rPr>
          <w:rFonts w:ascii="宋体" w:hAnsi="宋体" w:eastAsia="宋体"/>
          <w:b/>
          <w:bCs/>
          <w:sz w:val="24"/>
          <w:lang w:val="zh-CN"/>
        </w:rPr>
      </w:pPr>
      <w:bookmarkStart w:id="131" w:name="_Toc14066"/>
      <w:bookmarkStart w:id="132" w:name="_Toc13566"/>
      <w:bookmarkStart w:id="133" w:name="_Toc16508"/>
      <w:r>
        <w:rPr>
          <w:rFonts w:hint="eastAsia" w:ascii="宋体" w:hAnsi="宋体" w:eastAsia="宋体"/>
          <w:b/>
          <w:bCs/>
          <w:sz w:val="24"/>
          <w:lang w:val="zh-CN"/>
        </w:rPr>
        <w:t>2.1</w:t>
      </w:r>
      <w:r>
        <w:rPr>
          <w:rFonts w:ascii="宋体" w:hAnsi="宋体" w:eastAsia="宋体"/>
          <w:b/>
          <w:bCs/>
          <w:sz w:val="24"/>
          <w:lang w:val="zh-CN"/>
        </w:rPr>
        <w:t>1 不可抗力</w:t>
      </w:r>
      <w:bookmarkEnd w:id="131"/>
      <w:bookmarkEnd w:id="132"/>
      <w:bookmarkEnd w:id="133"/>
    </w:p>
    <w:p w14:paraId="30B7A4FF">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10FC5BEA">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14:paraId="5C1108A2">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09B19477">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0B0CBE3D">
      <w:pPr>
        <w:spacing w:line="360" w:lineRule="auto"/>
        <w:ind w:firstLine="437"/>
        <w:outlineLvl w:val="2"/>
        <w:rPr>
          <w:rFonts w:ascii="宋体" w:hAnsi="宋体" w:eastAsia="宋体"/>
          <w:b/>
          <w:bCs/>
          <w:sz w:val="24"/>
          <w:lang w:val="zh-CN"/>
        </w:rPr>
      </w:pPr>
      <w:bookmarkStart w:id="134" w:name="_Toc487900365"/>
      <w:bookmarkStart w:id="135" w:name="_Toc279701255"/>
      <w:bookmarkStart w:id="136" w:name="_Toc259093684"/>
      <w:bookmarkStart w:id="137" w:name="_Toc30676"/>
      <w:bookmarkStart w:id="138" w:name="_Toc6969"/>
      <w:bookmarkStart w:id="139" w:name="_Toc689"/>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34"/>
      <w:bookmarkEnd w:id="135"/>
      <w:bookmarkEnd w:id="136"/>
      <w:bookmarkEnd w:id="137"/>
      <w:bookmarkEnd w:id="138"/>
      <w:bookmarkEnd w:id="139"/>
    </w:p>
    <w:p w14:paraId="10EAF95E">
      <w:pPr>
        <w:spacing w:line="360" w:lineRule="auto"/>
        <w:ind w:firstLine="435"/>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32780C82">
      <w:pPr>
        <w:spacing w:line="360" w:lineRule="auto"/>
        <w:ind w:firstLine="437"/>
        <w:outlineLvl w:val="2"/>
        <w:rPr>
          <w:rFonts w:ascii="宋体" w:hAnsi="宋体" w:eastAsia="宋体"/>
          <w:b/>
          <w:bCs/>
          <w:sz w:val="24"/>
          <w:lang w:val="zh-CN"/>
        </w:rPr>
      </w:pPr>
      <w:bookmarkStart w:id="140" w:name="_Toc16959"/>
      <w:bookmarkStart w:id="141" w:name="_Toc8298"/>
      <w:bookmarkStart w:id="142" w:name="_Toc279701258"/>
      <w:bookmarkStart w:id="143" w:name="_Toc259093687"/>
      <w:bookmarkStart w:id="144" w:name="_Toc487900368"/>
      <w:bookmarkStart w:id="145" w:name="_Toc7102"/>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40"/>
      <w:bookmarkEnd w:id="141"/>
      <w:bookmarkEnd w:id="142"/>
      <w:bookmarkEnd w:id="143"/>
      <w:bookmarkEnd w:id="144"/>
      <w:bookmarkEnd w:id="145"/>
    </w:p>
    <w:p w14:paraId="06B130F4">
      <w:pPr>
        <w:spacing w:line="360" w:lineRule="auto"/>
        <w:ind w:firstLine="435"/>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7FA8E9AE">
      <w:pPr>
        <w:spacing w:line="360" w:lineRule="auto"/>
        <w:ind w:firstLine="437"/>
        <w:outlineLvl w:val="2"/>
        <w:rPr>
          <w:rFonts w:ascii="宋体" w:hAnsi="宋体" w:eastAsia="宋体"/>
          <w:b/>
          <w:sz w:val="24"/>
        </w:rPr>
      </w:pPr>
      <w:bookmarkStart w:id="146" w:name="_Toc15387"/>
      <w:bookmarkStart w:id="147" w:name="_Toc6134"/>
      <w:bookmarkStart w:id="148" w:name="_Toc29333"/>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46"/>
      <w:bookmarkEnd w:id="147"/>
      <w:bookmarkEnd w:id="148"/>
    </w:p>
    <w:p w14:paraId="4EF0AC57">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14:paraId="3CCFA326">
      <w:pPr>
        <w:spacing w:line="360" w:lineRule="auto"/>
        <w:ind w:firstLine="435"/>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14:paraId="7E5E75A9">
      <w:pPr>
        <w:spacing w:line="360" w:lineRule="auto"/>
        <w:ind w:firstLine="437"/>
        <w:outlineLvl w:val="2"/>
        <w:rPr>
          <w:rFonts w:ascii="宋体" w:hAnsi="宋体" w:eastAsia="宋体"/>
          <w:b/>
          <w:bCs/>
          <w:sz w:val="24"/>
          <w:lang w:val="zh-CN"/>
        </w:rPr>
      </w:pPr>
      <w:bookmarkStart w:id="149" w:name="_Toc1125"/>
      <w:bookmarkStart w:id="150" w:name="_Toc14563"/>
      <w:bookmarkStart w:id="151" w:name="_Toc6596"/>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49"/>
      <w:bookmarkEnd w:id="150"/>
      <w:bookmarkEnd w:id="151"/>
    </w:p>
    <w:p w14:paraId="6B0A6A8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6E2CBCD2">
      <w:pPr>
        <w:spacing w:line="360" w:lineRule="auto"/>
        <w:ind w:firstLine="435"/>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5F13B754">
      <w:pPr>
        <w:spacing w:line="360" w:lineRule="auto"/>
        <w:ind w:firstLine="435"/>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21"/>
    <w:bookmarkEnd w:id="122"/>
    <w:bookmarkEnd w:id="123"/>
    <w:bookmarkEnd w:id="124"/>
    <w:p w14:paraId="020E829E">
      <w:pPr>
        <w:spacing w:line="360" w:lineRule="auto"/>
        <w:ind w:firstLine="437"/>
        <w:outlineLvl w:val="2"/>
        <w:rPr>
          <w:rFonts w:ascii="宋体" w:hAnsi="宋体" w:eastAsia="宋体"/>
          <w:b/>
          <w:bCs/>
          <w:sz w:val="24"/>
        </w:rPr>
      </w:pPr>
      <w:bookmarkStart w:id="152" w:name="_Toc18567"/>
      <w:bookmarkStart w:id="153" w:name="_Toc12773"/>
      <w:bookmarkStart w:id="154" w:name="_Toc10330"/>
      <w:bookmarkStart w:id="155" w:name="_Toc487900373"/>
      <w:bookmarkStart w:id="156" w:name="_Toc259093692"/>
      <w:bookmarkStart w:id="157" w:name="_Toc279701263"/>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52"/>
      <w:bookmarkEnd w:id="153"/>
      <w:bookmarkEnd w:id="154"/>
      <w:bookmarkEnd w:id="155"/>
      <w:bookmarkEnd w:id="156"/>
      <w:bookmarkEnd w:id="157"/>
    </w:p>
    <w:p w14:paraId="7C2E4569">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3EF564BE">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14:paraId="1501B75A">
      <w:pPr>
        <w:spacing w:line="360" w:lineRule="auto"/>
        <w:ind w:firstLine="437"/>
        <w:outlineLvl w:val="2"/>
        <w:rPr>
          <w:rFonts w:ascii="宋体" w:hAnsi="宋体" w:eastAsia="宋体"/>
          <w:b/>
          <w:sz w:val="24"/>
        </w:rPr>
      </w:pPr>
      <w:bookmarkStart w:id="158" w:name="_Toc16673"/>
      <w:bookmarkStart w:id="159" w:name="_Toc259093693"/>
      <w:bookmarkStart w:id="160" w:name="_Toc279701264"/>
      <w:bookmarkStart w:id="161" w:name="_Toc3148"/>
      <w:bookmarkStart w:id="162" w:name="_Toc12004"/>
      <w:bookmarkStart w:id="163"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58"/>
      <w:bookmarkEnd w:id="159"/>
      <w:bookmarkEnd w:id="160"/>
      <w:bookmarkEnd w:id="161"/>
      <w:bookmarkEnd w:id="162"/>
    </w:p>
    <w:p w14:paraId="450740CC">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，以支票、汇票、本票或者金融机构、担保机构出具的保函等非现金形式，提交不超过合同价10%的履约保证金；</w:t>
      </w:r>
    </w:p>
    <w:p w14:paraId="38D9A8A5">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17.2履约保证金在</w:t>
      </w:r>
      <w:r>
        <w:rPr>
          <w:rFonts w:ascii="宋体" w:hAnsi="宋体" w:eastAsia="宋体"/>
          <w:b/>
          <w:i/>
          <w:sz w:val="24"/>
          <w:u w:val="single"/>
        </w:rPr>
        <w:t>合同专用条款</w:t>
      </w:r>
      <w:r>
        <w:rPr>
          <w:rFonts w:ascii="宋体" w:hAnsi="宋体" w:eastAsia="宋体"/>
          <w:sz w:val="24"/>
        </w:rPr>
        <w:t>约定期间内不予退还或者应完全有效</w:t>
      </w:r>
      <w:r>
        <w:rPr>
          <w:rFonts w:hint="eastAsia" w:ascii="宋体" w:hAnsi="宋体" w:eastAsia="宋体"/>
          <w:sz w:val="24"/>
        </w:rPr>
        <w:t>，前述约定期间届满</w:t>
      </w:r>
      <w:r>
        <w:rPr>
          <w:rFonts w:ascii="宋体" w:hAnsi="宋体" w:eastAsia="宋体"/>
          <w:sz w:val="24"/>
        </w:rPr>
        <w:t>之日起</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个</w:t>
      </w:r>
      <w:r>
        <w:rPr>
          <w:rFonts w:ascii="宋体" w:hAnsi="宋体" w:eastAsia="宋体"/>
          <w:sz w:val="24"/>
        </w:rPr>
        <w:t>工作日内，甲方应将履约保证金退还乙方</w:t>
      </w:r>
      <w:r>
        <w:rPr>
          <w:rFonts w:hint="eastAsia" w:ascii="宋体" w:hAnsi="宋体" w:eastAsia="宋体"/>
          <w:sz w:val="24"/>
        </w:rPr>
        <w:t>；</w:t>
      </w:r>
    </w:p>
    <w:p w14:paraId="79E7E75C">
      <w:pPr>
        <w:spacing w:line="360" w:lineRule="auto"/>
        <w:ind w:firstLine="435"/>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63"/>
    <w:p w14:paraId="15A0EEF7">
      <w:pPr>
        <w:spacing w:line="360" w:lineRule="auto"/>
        <w:ind w:firstLine="437"/>
        <w:outlineLvl w:val="2"/>
        <w:rPr>
          <w:rFonts w:ascii="宋体" w:hAnsi="宋体" w:eastAsia="宋体"/>
          <w:b/>
          <w:sz w:val="24"/>
        </w:rPr>
      </w:pPr>
      <w:bookmarkStart w:id="164" w:name="_Toc6885"/>
      <w:bookmarkStart w:id="165" w:name="_Toc14001"/>
      <w:bookmarkStart w:id="166" w:name="_Toc19890"/>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64"/>
      <w:bookmarkEnd w:id="165"/>
      <w:bookmarkEnd w:id="166"/>
    </w:p>
    <w:p w14:paraId="62FF8FCB">
      <w:pPr>
        <w:spacing w:line="360" w:lineRule="auto"/>
        <w:ind w:firstLine="435"/>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p>
    <w:p w14:paraId="34D005C6">
      <w:pPr>
        <w:spacing w:line="360" w:lineRule="auto"/>
        <w:jc w:val="center"/>
        <w:outlineLvl w:val="1"/>
        <w:rPr>
          <w:rFonts w:ascii="宋体" w:hAnsi="宋体" w:eastAsia="宋体"/>
          <w:b/>
          <w:sz w:val="24"/>
        </w:rPr>
      </w:pPr>
      <w:r>
        <w:rPr>
          <w:rFonts w:ascii="宋体" w:hAnsi="宋体" w:eastAsia="宋体"/>
          <w:sz w:val="24"/>
        </w:rPr>
        <w:br w:type="page"/>
      </w:r>
      <w:bookmarkStart w:id="167" w:name="_Toc13315"/>
      <w:bookmarkStart w:id="168" w:name="_Toc331685784"/>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67"/>
      <w:bookmarkEnd w:id="168"/>
    </w:p>
    <w:p w14:paraId="3CAA07D4">
      <w:pPr>
        <w:spacing w:line="360" w:lineRule="auto"/>
        <w:ind w:firstLine="435"/>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20"/>
        <w:tblW w:w="8362"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794"/>
        <w:gridCol w:w="7568"/>
      </w:tblGrid>
      <w:tr w14:paraId="755362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794" w:type="dxa"/>
            <w:tcBorders>
              <w:left w:val="single" w:color="auto" w:sz="4" w:space="0"/>
            </w:tcBorders>
            <w:vAlign w:val="center"/>
          </w:tcPr>
          <w:p w14:paraId="54975EE1">
            <w:pPr>
              <w:jc w:val="center"/>
              <w:rPr>
                <w:rFonts w:ascii="宋体" w:hAnsi="宋体" w:eastAsia="宋体"/>
                <w:b/>
                <w:sz w:val="24"/>
              </w:rPr>
            </w:pPr>
            <w:r>
              <w:rPr>
                <w:rFonts w:ascii="宋体" w:hAnsi="宋体" w:eastAsia="宋体"/>
                <w:b/>
                <w:sz w:val="24"/>
              </w:rPr>
              <w:t>条款号</w:t>
            </w:r>
          </w:p>
        </w:tc>
        <w:tc>
          <w:tcPr>
            <w:tcW w:w="7568" w:type="dxa"/>
            <w:vAlign w:val="center"/>
          </w:tcPr>
          <w:p w14:paraId="18B7C4E8">
            <w:pPr>
              <w:jc w:val="center"/>
              <w:rPr>
                <w:rFonts w:ascii="宋体" w:hAnsi="宋体" w:eastAsia="宋体"/>
                <w:b/>
                <w:sz w:val="24"/>
              </w:rPr>
            </w:pPr>
            <w:r>
              <w:rPr>
                <w:rFonts w:ascii="宋体" w:hAnsi="宋体" w:eastAsia="宋体"/>
                <w:b/>
                <w:sz w:val="24"/>
              </w:rPr>
              <w:t>约定内容</w:t>
            </w:r>
          </w:p>
        </w:tc>
      </w:tr>
      <w:tr w14:paraId="2530104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794" w:type="dxa"/>
            <w:tcBorders>
              <w:left w:val="single" w:color="auto" w:sz="4" w:space="0"/>
            </w:tcBorders>
            <w:vAlign w:val="center"/>
          </w:tcPr>
          <w:p w14:paraId="1D4E626E">
            <w:pPr>
              <w:spacing w:line="560" w:lineRule="exact"/>
              <w:rPr>
                <w:rFonts w:ascii="宋体" w:hAnsi="宋体" w:eastAsia="宋体"/>
                <w:sz w:val="24"/>
              </w:rPr>
            </w:pPr>
          </w:p>
        </w:tc>
        <w:tc>
          <w:tcPr>
            <w:tcW w:w="7568" w:type="dxa"/>
            <w:vAlign w:val="center"/>
          </w:tcPr>
          <w:p w14:paraId="0D033A6E">
            <w:pPr>
              <w:spacing w:line="560" w:lineRule="exact"/>
              <w:rPr>
                <w:rFonts w:ascii="宋体" w:hAnsi="宋体" w:eastAsia="宋体"/>
                <w:sz w:val="24"/>
              </w:rPr>
            </w:pPr>
          </w:p>
        </w:tc>
      </w:tr>
      <w:tr w14:paraId="1632759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26FC61F7">
            <w:pPr>
              <w:spacing w:line="560" w:lineRule="exact"/>
              <w:rPr>
                <w:rFonts w:ascii="宋体" w:hAnsi="宋体" w:eastAsia="宋体"/>
                <w:sz w:val="24"/>
              </w:rPr>
            </w:pPr>
          </w:p>
        </w:tc>
        <w:tc>
          <w:tcPr>
            <w:tcW w:w="7568" w:type="dxa"/>
            <w:vAlign w:val="center"/>
          </w:tcPr>
          <w:p w14:paraId="70C975D7">
            <w:pPr>
              <w:spacing w:line="560" w:lineRule="exact"/>
              <w:rPr>
                <w:rFonts w:ascii="宋体" w:hAnsi="宋体" w:eastAsia="宋体"/>
                <w:sz w:val="24"/>
              </w:rPr>
            </w:pPr>
          </w:p>
        </w:tc>
      </w:tr>
      <w:tr w14:paraId="6C0A3DA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917749B">
            <w:pPr>
              <w:spacing w:line="560" w:lineRule="exact"/>
              <w:rPr>
                <w:rFonts w:ascii="宋体" w:hAnsi="宋体" w:eastAsia="宋体"/>
                <w:sz w:val="24"/>
              </w:rPr>
            </w:pPr>
          </w:p>
        </w:tc>
        <w:tc>
          <w:tcPr>
            <w:tcW w:w="7568" w:type="dxa"/>
            <w:vAlign w:val="center"/>
          </w:tcPr>
          <w:p w14:paraId="3E600B1A">
            <w:pPr>
              <w:spacing w:line="560" w:lineRule="exact"/>
              <w:rPr>
                <w:rFonts w:ascii="宋体" w:hAnsi="宋体" w:eastAsia="宋体"/>
                <w:sz w:val="24"/>
              </w:rPr>
            </w:pPr>
          </w:p>
        </w:tc>
      </w:tr>
      <w:tr w14:paraId="761F0D7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3024E915">
            <w:pPr>
              <w:spacing w:line="560" w:lineRule="exact"/>
              <w:rPr>
                <w:rFonts w:ascii="宋体" w:hAnsi="宋体" w:eastAsia="宋体"/>
                <w:sz w:val="24"/>
              </w:rPr>
            </w:pPr>
          </w:p>
        </w:tc>
        <w:tc>
          <w:tcPr>
            <w:tcW w:w="7568" w:type="dxa"/>
            <w:vAlign w:val="center"/>
          </w:tcPr>
          <w:p w14:paraId="08040990">
            <w:pPr>
              <w:spacing w:line="560" w:lineRule="exact"/>
              <w:rPr>
                <w:rFonts w:ascii="宋体" w:hAnsi="宋体" w:eastAsia="宋体"/>
                <w:sz w:val="24"/>
              </w:rPr>
            </w:pPr>
          </w:p>
        </w:tc>
      </w:tr>
      <w:tr w14:paraId="499617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6234EA54">
            <w:pPr>
              <w:spacing w:line="560" w:lineRule="exact"/>
              <w:rPr>
                <w:rFonts w:ascii="宋体" w:hAnsi="宋体" w:eastAsia="宋体"/>
                <w:sz w:val="24"/>
              </w:rPr>
            </w:pPr>
          </w:p>
        </w:tc>
        <w:tc>
          <w:tcPr>
            <w:tcW w:w="7568" w:type="dxa"/>
            <w:vAlign w:val="center"/>
          </w:tcPr>
          <w:p w14:paraId="63A67D53">
            <w:pPr>
              <w:spacing w:line="560" w:lineRule="exact"/>
              <w:rPr>
                <w:rFonts w:ascii="宋体" w:hAnsi="宋体" w:eastAsia="宋体"/>
                <w:sz w:val="24"/>
                <w:u w:val="single"/>
              </w:rPr>
            </w:pPr>
          </w:p>
        </w:tc>
      </w:tr>
      <w:tr w14:paraId="404E26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59439CA">
            <w:pPr>
              <w:spacing w:line="560" w:lineRule="exact"/>
              <w:rPr>
                <w:rFonts w:ascii="宋体" w:hAnsi="宋体" w:eastAsia="宋体"/>
                <w:sz w:val="24"/>
              </w:rPr>
            </w:pPr>
          </w:p>
        </w:tc>
        <w:tc>
          <w:tcPr>
            <w:tcW w:w="7568" w:type="dxa"/>
            <w:vAlign w:val="center"/>
          </w:tcPr>
          <w:p w14:paraId="2DF3143B">
            <w:pPr>
              <w:spacing w:line="560" w:lineRule="exact"/>
              <w:rPr>
                <w:rFonts w:ascii="宋体" w:hAnsi="宋体" w:eastAsia="宋体"/>
                <w:sz w:val="24"/>
              </w:rPr>
            </w:pPr>
          </w:p>
        </w:tc>
      </w:tr>
      <w:tr w14:paraId="52B1FA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jc w:val="center"/>
        </w:trPr>
        <w:tc>
          <w:tcPr>
            <w:tcW w:w="794" w:type="dxa"/>
            <w:tcBorders>
              <w:left w:val="single" w:color="auto" w:sz="4" w:space="0"/>
            </w:tcBorders>
            <w:vAlign w:val="center"/>
          </w:tcPr>
          <w:p w14:paraId="48C42117">
            <w:pPr>
              <w:spacing w:line="560" w:lineRule="exact"/>
              <w:rPr>
                <w:rFonts w:ascii="宋体" w:hAnsi="宋体" w:eastAsia="宋体"/>
                <w:sz w:val="24"/>
              </w:rPr>
            </w:pPr>
          </w:p>
        </w:tc>
        <w:tc>
          <w:tcPr>
            <w:tcW w:w="7568" w:type="dxa"/>
            <w:vAlign w:val="center"/>
          </w:tcPr>
          <w:p w14:paraId="53593FA9">
            <w:pPr>
              <w:spacing w:line="560" w:lineRule="exact"/>
              <w:rPr>
                <w:rFonts w:ascii="宋体" w:hAnsi="宋体" w:eastAsia="宋体"/>
                <w:sz w:val="24"/>
                <w:u w:val="single"/>
              </w:rPr>
            </w:pPr>
          </w:p>
        </w:tc>
      </w:tr>
      <w:tr w14:paraId="7791D4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137FA1AB">
            <w:pPr>
              <w:spacing w:line="560" w:lineRule="exact"/>
              <w:rPr>
                <w:rFonts w:ascii="宋体" w:hAnsi="宋体" w:eastAsia="宋体"/>
                <w:sz w:val="24"/>
              </w:rPr>
            </w:pPr>
          </w:p>
        </w:tc>
        <w:tc>
          <w:tcPr>
            <w:tcW w:w="7568" w:type="dxa"/>
            <w:vAlign w:val="center"/>
          </w:tcPr>
          <w:p w14:paraId="256C433B">
            <w:pPr>
              <w:spacing w:line="560" w:lineRule="exact"/>
              <w:rPr>
                <w:rFonts w:ascii="宋体" w:hAnsi="宋体" w:eastAsia="宋体"/>
                <w:sz w:val="24"/>
              </w:rPr>
            </w:pPr>
          </w:p>
        </w:tc>
      </w:tr>
      <w:tr w14:paraId="0D7EA0D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5E4324E5">
            <w:pPr>
              <w:spacing w:line="560" w:lineRule="exact"/>
              <w:rPr>
                <w:rFonts w:ascii="宋体" w:hAnsi="宋体" w:eastAsia="宋体"/>
                <w:sz w:val="24"/>
              </w:rPr>
            </w:pPr>
          </w:p>
        </w:tc>
        <w:tc>
          <w:tcPr>
            <w:tcW w:w="7568" w:type="dxa"/>
            <w:vAlign w:val="center"/>
          </w:tcPr>
          <w:p w14:paraId="6E177804">
            <w:pPr>
              <w:spacing w:line="560" w:lineRule="exact"/>
              <w:rPr>
                <w:rFonts w:ascii="宋体" w:hAnsi="宋体" w:eastAsia="宋体"/>
                <w:sz w:val="24"/>
              </w:rPr>
            </w:pPr>
          </w:p>
        </w:tc>
      </w:tr>
      <w:tr w14:paraId="274B529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left w:val="single" w:color="auto" w:sz="4" w:space="0"/>
            </w:tcBorders>
            <w:vAlign w:val="center"/>
          </w:tcPr>
          <w:p w14:paraId="3FB8AB1E">
            <w:pPr>
              <w:spacing w:line="560" w:lineRule="exact"/>
              <w:rPr>
                <w:rFonts w:ascii="宋体" w:hAnsi="宋体" w:eastAsia="宋体"/>
                <w:sz w:val="24"/>
              </w:rPr>
            </w:pPr>
          </w:p>
        </w:tc>
        <w:tc>
          <w:tcPr>
            <w:tcW w:w="7568" w:type="dxa"/>
            <w:vAlign w:val="center"/>
          </w:tcPr>
          <w:p w14:paraId="203C1F0C">
            <w:pPr>
              <w:spacing w:line="560" w:lineRule="exact"/>
              <w:rPr>
                <w:rFonts w:ascii="宋体" w:hAnsi="宋体" w:eastAsia="宋体"/>
                <w:sz w:val="24"/>
              </w:rPr>
            </w:pPr>
          </w:p>
        </w:tc>
      </w:tr>
      <w:tr w14:paraId="0F88B3A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1834DDA3">
            <w:pPr>
              <w:spacing w:line="560" w:lineRule="exact"/>
              <w:rPr>
                <w:rFonts w:ascii="宋体" w:hAnsi="宋体" w:eastAsia="宋体"/>
                <w:sz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003F453C">
            <w:pPr>
              <w:spacing w:line="560" w:lineRule="exact"/>
              <w:rPr>
                <w:rFonts w:ascii="宋体" w:hAnsi="宋体" w:eastAsia="宋体"/>
                <w:sz w:val="24"/>
              </w:rPr>
            </w:pPr>
          </w:p>
        </w:tc>
      </w:tr>
      <w:tr w14:paraId="6C8F1C9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jc w:val="center"/>
        </w:trPr>
        <w:tc>
          <w:tcPr>
            <w:tcW w:w="794" w:type="dxa"/>
            <w:tcBorders>
              <w:top w:val="single" w:color="auto" w:sz="6" w:space="0"/>
              <w:left w:val="single" w:color="auto" w:sz="4" w:space="0"/>
              <w:bottom w:val="single" w:color="auto" w:sz="6" w:space="0"/>
              <w:right w:val="single" w:color="auto" w:sz="6" w:space="0"/>
            </w:tcBorders>
            <w:vAlign w:val="center"/>
          </w:tcPr>
          <w:p w14:paraId="4E272DA2">
            <w:pPr>
              <w:spacing w:line="560" w:lineRule="exact"/>
              <w:rPr>
                <w:rFonts w:ascii="宋体" w:hAnsi="宋体" w:eastAsia="宋体"/>
                <w:sz w:val="24"/>
              </w:rPr>
            </w:pPr>
          </w:p>
        </w:tc>
        <w:tc>
          <w:tcPr>
            <w:tcW w:w="7568" w:type="dxa"/>
            <w:tcBorders>
              <w:top w:val="single" w:color="auto" w:sz="6" w:space="0"/>
              <w:left w:val="single" w:color="auto" w:sz="6" w:space="0"/>
              <w:bottom w:val="single" w:color="auto" w:sz="6" w:space="0"/>
              <w:right w:val="single" w:color="auto" w:sz="6" w:space="0"/>
            </w:tcBorders>
            <w:vAlign w:val="center"/>
          </w:tcPr>
          <w:p w14:paraId="0F004357">
            <w:pPr>
              <w:spacing w:line="560" w:lineRule="exact"/>
              <w:rPr>
                <w:rFonts w:ascii="宋体" w:hAnsi="宋体" w:eastAsia="宋体"/>
                <w:sz w:val="24"/>
              </w:rPr>
            </w:pPr>
          </w:p>
        </w:tc>
      </w:tr>
    </w:tbl>
    <w:p w14:paraId="6F5EE77A">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3F0CB20">
      <w:pPr>
        <w:spacing w:line="360" w:lineRule="auto"/>
        <w:jc w:val="center"/>
        <w:outlineLvl w:val="0"/>
        <w:rPr>
          <w:rFonts w:asciiTheme="minorEastAsia" w:hAnsiTheme="minorEastAsia" w:eastAsiaTheme="minorEastAsia"/>
          <w:b/>
          <w:sz w:val="28"/>
        </w:rPr>
      </w:pPr>
      <w:bookmarkStart w:id="169" w:name="_Toc24974"/>
      <w:r>
        <w:rPr>
          <w:rFonts w:hint="eastAsia" w:asciiTheme="minorEastAsia" w:hAnsiTheme="minorEastAsia" w:eastAsiaTheme="minorEastAsia"/>
          <w:b/>
          <w:sz w:val="28"/>
        </w:rPr>
        <w:t>第六章  响应文件格式</w:t>
      </w:r>
      <w:bookmarkEnd w:id="169"/>
    </w:p>
    <w:p w14:paraId="51A0ABFA">
      <w:pPr>
        <w:spacing w:line="500" w:lineRule="exact"/>
        <w:jc w:val="center"/>
        <w:outlineLvl w:val="1"/>
        <w:rPr>
          <w:rFonts w:hint="eastAsia" w:asciiTheme="minorEastAsia" w:hAnsiTheme="minorEastAsia" w:eastAsiaTheme="minorEastAsia"/>
          <w:b/>
          <w:sz w:val="32"/>
          <w:lang w:eastAsia="zh-CN"/>
        </w:rPr>
      </w:pPr>
      <w:r>
        <w:rPr>
          <w:rFonts w:hint="eastAsia" w:asciiTheme="minorEastAsia" w:hAnsiTheme="minorEastAsia" w:eastAsiaTheme="minorEastAsia"/>
          <w:b/>
          <w:sz w:val="32"/>
          <w:lang w:eastAsia="zh-CN"/>
        </w:rPr>
        <w:t>滁州学院校友信息管理系统升级改造项目</w:t>
      </w:r>
    </w:p>
    <w:p w14:paraId="11F86CC6">
      <w:pPr>
        <w:spacing w:line="900" w:lineRule="exact"/>
        <w:jc w:val="center"/>
        <w:rPr>
          <w:rFonts w:asciiTheme="minorEastAsia" w:hAnsiTheme="minorEastAsia" w:eastAsiaTheme="minorEastAsia"/>
          <w:b/>
          <w:sz w:val="72"/>
        </w:rPr>
      </w:pPr>
    </w:p>
    <w:p w14:paraId="54C13852">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响</w:t>
      </w:r>
    </w:p>
    <w:p w14:paraId="402B0B26">
      <w:pPr>
        <w:spacing w:line="900" w:lineRule="exact"/>
        <w:jc w:val="center"/>
        <w:rPr>
          <w:rFonts w:asciiTheme="minorEastAsia" w:hAnsiTheme="minorEastAsia" w:eastAsiaTheme="minorEastAsia"/>
          <w:b/>
          <w:sz w:val="72"/>
        </w:rPr>
      </w:pPr>
    </w:p>
    <w:p w14:paraId="5679F8D2">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应</w:t>
      </w:r>
    </w:p>
    <w:p w14:paraId="08E77680">
      <w:pPr>
        <w:spacing w:line="900" w:lineRule="exact"/>
        <w:jc w:val="center"/>
        <w:rPr>
          <w:rFonts w:asciiTheme="minorEastAsia" w:hAnsiTheme="minorEastAsia" w:eastAsiaTheme="minorEastAsia"/>
          <w:b/>
          <w:sz w:val="72"/>
        </w:rPr>
      </w:pPr>
    </w:p>
    <w:p w14:paraId="74FE6967">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1B0852F0">
      <w:pPr>
        <w:spacing w:line="900" w:lineRule="exact"/>
        <w:jc w:val="center"/>
        <w:rPr>
          <w:rFonts w:asciiTheme="minorEastAsia" w:hAnsiTheme="minorEastAsia" w:eastAsiaTheme="minorEastAsia"/>
          <w:b/>
          <w:sz w:val="72"/>
        </w:rPr>
      </w:pPr>
    </w:p>
    <w:p w14:paraId="72582E44">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2799257F">
      <w:pPr>
        <w:spacing w:after="156" w:afterLines="50"/>
        <w:jc w:val="center"/>
        <w:rPr>
          <w:rFonts w:asciiTheme="minorEastAsia" w:hAnsiTheme="minorEastAsia" w:eastAsiaTheme="minorEastAsia"/>
          <w:b/>
          <w:sz w:val="72"/>
        </w:rPr>
      </w:pPr>
    </w:p>
    <w:p w14:paraId="5946483A">
      <w:pPr>
        <w:spacing w:after="156" w:afterLines="50" w:line="500" w:lineRule="exact"/>
        <w:jc w:val="center"/>
        <w:rPr>
          <w:rFonts w:asciiTheme="minorEastAsia" w:hAnsiTheme="minorEastAsia" w:eastAsiaTheme="minorEastAsia"/>
          <w:b/>
          <w:sz w:val="28"/>
          <w:szCs w:val="28"/>
        </w:rPr>
      </w:pPr>
    </w:p>
    <w:p w14:paraId="09CEB62B">
      <w:pPr>
        <w:spacing w:after="156" w:afterLines="50" w:line="500" w:lineRule="exact"/>
        <w:jc w:val="center"/>
        <w:rPr>
          <w:rFonts w:asciiTheme="minorEastAsia" w:hAnsiTheme="minorEastAsia" w:eastAsiaTheme="minorEastAsia"/>
          <w:b/>
          <w:sz w:val="72"/>
        </w:rPr>
      </w:pPr>
    </w:p>
    <w:p w14:paraId="2B5281A4">
      <w:pPr>
        <w:spacing w:after="156" w:afterLines="50" w:line="500" w:lineRule="exact"/>
        <w:ind w:firstLine="2522" w:firstLineChars="785"/>
        <w:rPr>
          <w:rFonts w:asciiTheme="minorEastAsia" w:hAnsiTheme="minorEastAsia" w:eastAsiaTheme="minorEastAsia"/>
          <w:b/>
          <w:sz w:val="32"/>
          <w:u w:val="single"/>
        </w:rPr>
      </w:pPr>
      <w:r>
        <w:rPr>
          <w:rFonts w:hint="eastAsia" w:asciiTheme="minorEastAsia" w:hAnsiTheme="minorEastAsia" w:eastAsiaTheme="minorEastAsia"/>
          <w:b/>
          <w:sz w:val="32"/>
        </w:rPr>
        <w:t>供应商：</w:t>
      </w:r>
      <w:r>
        <w:rPr>
          <w:rFonts w:hint="eastAsia" w:asciiTheme="minorEastAsia" w:hAnsiTheme="minorEastAsia" w:eastAsiaTheme="minorEastAsia"/>
          <w:b/>
          <w:sz w:val="32"/>
          <w:u w:val="single"/>
        </w:rPr>
        <w:t xml:space="preserve">               </w:t>
      </w:r>
    </w:p>
    <w:p w14:paraId="1F98CA4D">
      <w:pPr>
        <w:spacing w:after="156" w:afterLines="50" w:line="500" w:lineRule="exact"/>
        <w:jc w:val="center"/>
        <w:outlineLvl w:val="1"/>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170" w:name="_Toc15713"/>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170"/>
    </w:p>
    <w:p w14:paraId="0A4D8FA8">
      <w:pPr>
        <w:widowControl/>
        <w:jc w:val="left"/>
        <w:rPr>
          <w:rFonts w:asciiTheme="minorEastAsia" w:hAnsiTheme="minorEastAsia" w:eastAsiaTheme="minorEastAsia"/>
          <w:b/>
          <w:sz w:val="28"/>
        </w:rPr>
      </w:pPr>
      <w:r>
        <w:rPr>
          <w:rFonts w:asciiTheme="minorEastAsia" w:hAnsiTheme="minorEastAsia" w:eastAsiaTheme="minorEastAsia"/>
          <w:b/>
          <w:sz w:val="28"/>
        </w:rPr>
        <w:br w:type="page"/>
      </w:r>
    </w:p>
    <w:p w14:paraId="69F4468D">
      <w:pPr>
        <w:spacing w:line="360" w:lineRule="auto"/>
        <w:jc w:val="center"/>
        <w:outlineLvl w:val="1"/>
        <w:rPr>
          <w:rFonts w:asciiTheme="minorEastAsia" w:hAnsiTheme="minorEastAsia" w:eastAsiaTheme="minorEastAsia"/>
          <w:b/>
          <w:sz w:val="24"/>
        </w:rPr>
      </w:pPr>
      <w:bookmarkStart w:id="171" w:name="_Toc461053086"/>
      <w:bookmarkStart w:id="172" w:name="_Toc461056631"/>
      <w:bookmarkStart w:id="173" w:name="_Toc25098"/>
      <w:bookmarkStart w:id="174" w:name="_Toc520983587"/>
      <w:r>
        <w:rPr>
          <w:rFonts w:hint="eastAsia" w:asciiTheme="minorEastAsia" w:hAnsiTheme="minorEastAsia" w:eastAsiaTheme="minorEastAsia"/>
          <w:b/>
          <w:sz w:val="24"/>
        </w:rPr>
        <w:t>一</w:t>
      </w:r>
      <w:bookmarkEnd w:id="171"/>
      <w:bookmarkEnd w:id="172"/>
      <w:r>
        <w:rPr>
          <w:rFonts w:hint="eastAsia" w:asciiTheme="minorEastAsia" w:hAnsiTheme="minorEastAsia" w:eastAsiaTheme="minorEastAsia"/>
          <w:b/>
          <w:sz w:val="24"/>
        </w:rPr>
        <w:t>、报价表格式</w:t>
      </w:r>
      <w:bookmarkEnd w:id="173"/>
      <w:bookmarkEnd w:id="174"/>
    </w:p>
    <w:p w14:paraId="36A6444F">
      <w:pPr>
        <w:spacing w:before="156" w:beforeLines="50" w:after="156" w:afterLines="50" w:line="360" w:lineRule="auto"/>
        <w:jc w:val="left"/>
        <w:outlineLvl w:val="2"/>
        <w:rPr>
          <w:rFonts w:ascii="宋体" w:hAnsi="宋体" w:eastAsia="宋体"/>
          <w:b/>
          <w:sz w:val="24"/>
          <w:szCs w:val="28"/>
        </w:rPr>
      </w:pPr>
      <w:r>
        <w:rPr>
          <w:rFonts w:hint="eastAsia" w:ascii="宋体" w:hAnsi="宋体" w:eastAsia="宋体"/>
          <w:b/>
          <w:sz w:val="24"/>
          <w:szCs w:val="28"/>
        </w:rPr>
        <w:t>1-1 报价表</w:t>
      </w:r>
    </w:p>
    <w:p w14:paraId="757ED808">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r>
        <w:rPr>
          <w:rFonts w:hint="eastAsia" w:ascii="宋体" w:hAnsi="宋体" w:eastAsia="宋体"/>
          <w:b/>
          <w:sz w:val="24"/>
          <w:szCs w:val="28"/>
          <w:u w:val="single"/>
          <w:lang w:eastAsia="zh-CN"/>
        </w:rPr>
        <w:t>滁州学院校友信息管理系统升级改造项目</w:t>
      </w:r>
      <w:r>
        <w:rPr>
          <w:rFonts w:hint="eastAsia" w:ascii="宋体" w:hAnsi="宋体" w:eastAsia="宋体"/>
          <w:b/>
          <w:sz w:val="24"/>
          <w:szCs w:val="28"/>
          <w:u w:val="single"/>
        </w:rPr>
        <w:t xml:space="preserve">       </w:t>
      </w:r>
    </w:p>
    <w:p w14:paraId="0D4B958B">
      <w:pPr>
        <w:snapToGrid w:val="0"/>
        <w:spacing w:after="156" w:afterLines="50" w:line="360" w:lineRule="auto"/>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r>
        <w:rPr>
          <w:rFonts w:hint="eastAsia" w:ascii="宋体" w:hAnsi="宋体" w:eastAsia="宋体"/>
          <w:b/>
          <w:sz w:val="24"/>
          <w:szCs w:val="28"/>
          <w:u w:val="single"/>
          <w:lang w:eastAsia="zh-CN"/>
        </w:rPr>
        <w:t>2025HBAFN00034</w:t>
      </w:r>
      <w:r>
        <w:rPr>
          <w:rFonts w:hint="eastAsia" w:ascii="宋体" w:hAnsi="宋体" w:eastAsia="宋体"/>
          <w:b/>
          <w:sz w:val="24"/>
          <w:szCs w:val="28"/>
          <w:u w:val="single"/>
        </w:rPr>
        <w:t xml:space="preserve">       </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2B9DF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BAD04AB">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left w:val="single" w:color="auto" w:sz="4" w:space="0"/>
            </w:tcBorders>
          </w:tcPr>
          <w:p w14:paraId="0DF78A06">
            <w:pPr>
              <w:spacing w:line="360" w:lineRule="auto"/>
              <w:rPr>
                <w:rFonts w:ascii="宋体" w:hAnsi="宋体" w:eastAsia="宋体"/>
                <w:b/>
                <w:sz w:val="24"/>
              </w:rPr>
            </w:pPr>
          </w:p>
        </w:tc>
      </w:tr>
      <w:tr w14:paraId="54C30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73E98E29">
            <w:pPr>
              <w:spacing w:line="360" w:lineRule="exact"/>
              <w:jc w:val="center"/>
              <w:rPr>
                <w:rFonts w:ascii="宋体" w:hAnsi="宋体" w:eastAsia="宋体"/>
                <w:b/>
                <w:sz w:val="24"/>
              </w:rPr>
            </w:pPr>
            <w:r>
              <w:rPr>
                <w:rFonts w:hint="eastAsia" w:ascii="宋体" w:hAnsi="宋体" w:eastAsia="宋体"/>
                <w:b/>
                <w:sz w:val="24"/>
              </w:rPr>
              <w:t>磋商范围</w:t>
            </w:r>
          </w:p>
        </w:tc>
        <w:tc>
          <w:tcPr>
            <w:tcW w:w="6063" w:type="dxa"/>
            <w:tcBorders>
              <w:left w:val="single" w:color="auto" w:sz="4" w:space="0"/>
            </w:tcBorders>
            <w:vAlign w:val="center"/>
          </w:tcPr>
          <w:p w14:paraId="136591B3">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7769F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2D857EC3">
            <w:pPr>
              <w:spacing w:line="360" w:lineRule="auto"/>
              <w:jc w:val="center"/>
              <w:rPr>
                <w:rFonts w:ascii="宋体" w:hAnsi="宋体" w:eastAsia="宋体"/>
                <w:b/>
                <w:sz w:val="24"/>
              </w:rPr>
            </w:pPr>
            <w:r>
              <w:rPr>
                <w:rFonts w:hint="eastAsia" w:ascii="宋体" w:hAnsi="宋体" w:eastAsia="宋体"/>
                <w:b/>
                <w:sz w:val="24"/>
              </w:rPr>
              <w:t>报价</w:t>
            </w:r>
          </w:p>
          <w:p w14:paraId="7356870D">
            <w:pPr>
              <w:spacing w:line="360" w:lineRule="auto"/>
              <w:jc w:val="center"/>
              <w:rPr>
                <w:rFonts w:ascii="宋体" w:hAnsi="宋体" w:eastAsia="宋体"/>
                <w:b/>
                <w:sz w:val="24"/>
              </w:rPr>
            </w:pPr>
            <w:r>
              <w:rPr>
                <w:rFonts w:hint="eastAsia" w:ascii="宋体" w:hAnsi="宋体" w:eastAsia="宋体"/>
                <w:b/>
                <w:sz w:val="24"/>
              </w:rPr>
              <w:t>（详见备注说明）</w:t>
            </w:r>
          </w:p>
        </w:tc>
        <w:tc>
          <w:tcPr>
            <w:tcW w:w="6063" w:type="dxa"/>
            <w:vAlign w:val="center"/>
          </w:tcPr>
          <w:p w14:paraId="1F04ADF4">
            <w:pPr>
              <w:snapToGrid w:val="0"/>
              <w:spacing w:line="360" w:lineRule="auto"/>
              <w:rPr>
                <w:rFonts w:ascii="宋体" w:hAnsi="宋体" w:eastAsia="宋体"/>
                <w:sz w:val="24"/>
                <w:szCs w:val="28"/>
              </w:rPr>
            </w:pPr>
          </w:p>
          <w:p w14:paraId="04EE5F6B">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14:paraId="767647CE">
            <w:pPr>
              <w:snapToGrid w:val="0"/>
              <w:spacing w:line="360" w:lineRule="auto"/>
              <w:rPr>
                <w:rFonts w:ascii="宋体" w:hAnsi="宋体" w:eastAsia="宋体"/>
                <w:b/>
                <w:sz w:val="24"/>
              </w:rPr>
            </w:pPr>
          </w:p>
        </w:tc>
      </w:tr>
      <w:tr w14:paraId="532BAC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2459" w:type="dxa"/>
            <w:vAlign w:val="center"/>
          </w:tcPr>
          <w:p w14:paraId="78D5486B">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tcPr>
          <w:p w14:paraId="79366B44">
            <w:pPr>
              <w:spacing w:line="360" w:lineRule="auto"/>
              <w:rPr>
                <w:rFonts w:ascii="宋体" w:hAnsi="宋体" w:eastAsia="宋体"/>
                <w:b/>
                <w:sz w:val="24"/>
              </w:rPr>
            </w:pPr>
          </w:p>
        </w:tc>
      </w:tr>
    </w:tbl>
    <w:p w14:paraId="26C5620A">
      <w:pPr>
        <w:spacing w:line="440" w:lineRule="exact"/>
        <w:ind w:firstLine="5520" w:firstLineChars="2300"/>
        <w:rPr>
          <w:rFonts w:ascii="宋体" w:hAnsi="宋体" w:eastAsia="宋体"/>
          <w:sz w:val="24"/>
          <w:szCs w:val="24"/>
        </w:rPr>
      </w:pPr>
      <w:r>
        <w:rPr>
          <w:rFonts w:hint="eastAsia" w:ascii="宋体" w:hAnsi="宋体" w:eastAsia="宋体"/>
          <w:sz w:val="24"/>
          <w:szCs w:val="24"/>
        </w:rPr>
        <w:t xml:space="preserve">供应商电子签章：     </w:t>
      </w:r>
      <w:r>
        <w:rPr>
          <w:rFonts w:ascii="宋体" w:hAnsi="宋体" w:eastAsia="宋体"/>
          <w:sz w:val="24"/>
          <w:szCs w:val="24"/>
        </w:rPr>
        <w:t xml:space="preserve">    </w:t>
      </w:r>
      <w:r>
        <w:rPr>
          <w:rFonts w:hint="eastAsia" w:ascii="宋体" w:hAnsi="宋体" w:eastAsia="宋体"/>
          <w:sz w:val="24"/>
          <w:szCs w:val="24"/>
        </w:rPr>
        <w:t xml:space="preserve">    </w:t>
      </w:r>
    </w:p>
    <w:p w14:paraId="2BBEEE99">
      <w:pPr>
        <w:spacing w:line="440" w:lineRule="exact"/>
        <w:ind w:firstLine="5520" w:firstLineChars="2300"/>
        <w:rPr>
          <w:rFonts w:ascii="宋体" w:hAnsi="宋体" w:eastAsia="宋体"/>
          <w:sz w:val="24"/>
          <w:szCs w:val="24"/>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             </w:t>
      </w:r>
    </w:p>
    <w:p w14:paraId="1825D64C">
      <w:pPr>
        <w:adjustRightInd w:val="0"/>
        <w:snapToGrid w:val="0"/>
        <w:spacing w:line="360" w:lineRule="auto"/>
        <w:rPr>
          <w:rFonts w:ascii="宋体" w:hAnsi="宋体" w:eastAsia="宋体"/>
          <w:b/>
          <w:bCs/>
          <w:sz w:val="24"/>
          <w:szCs w:val="28"/>
        </w:rPr>
      </w:pPr>
      <w:r>
        <w:rPr>
          <w:rFonts w:hint="eastAsia" w:ascii="宋体" w:hAnsi="宋体" w:eastAsia="宋体"/>
          <w:b/>
          <w:bCs/>
          <w:sz w:val="24"/>
          <w:szCs w:val="28"/>
        </w:rPr>
        <w:t>注：</w:t>
      </w:r>
    </w:p>
    <w:p w14:paraId="2B7B2C33">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磋商文件要求包括了服务及其配套的设计、采购、制造、检测、试验、运输、保险、仓储、税费以及现场落地、安装及安装耗损、调试、验收、培训、技术服务（包括技术资料、图纸的提供）质保期内的售后服务保障等所有费用。</w:t>
      </w:r>
    </w:p>
    <w:p w14:paraId="7018530C">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12892786">
      <w:pPr>
        <w:adjustRightInd w:val="0"/>
        <w:snapToGrid w:val="0"/>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rPr>
        <w:t>3.供应商应根据其响应文件中报价表的内容填写唱标信息，唱标信息不作为评审的依据。唱标信息与报价表不一致的，</w:t>
      </w:r>
      <w:r>
        <w:rPr>
          <w:rFonts w:ascii="宋体" w:hAnsi="宋体" w:eastAsia="宋体"/>
          <w:b/>
          <w:bCs/>
          <w:sz w:val="24"/>
          <w:szCs w:val="28"/>
        </w:rPr>
        <w:t>以</w:t>
      </w:r>
      <w:r>
        <w:rPr>
          <w:rFonts w:hint="eastAsia" w:ascii="宋体" w:hAnsi="宋体" w:eastAsia="宋体"/>
          <w:b/>
          <w:bCs/>
          <w:sz w:val="24"/>
          <w:szCs w:val="28"/>
        </w:rPr>
        <w:t>报价表为准。</w:t>
      </w:r>
    </w:p>
    <w:p w14:paraId="60371E8F">
      <w:pPr>
        <w:adjustRightInd w:val="0"/>
        <w:snapToGrid w:val="0"/>
        <w:spacing w:line="360" w:lineRule="auto"/>
        <w:ind w:firstLine="482" w:firstLineChars="200"/>
        <w:rPr>
          <w:rFonts w:hint="eastAsia" w:ascii="宋体" w:hAnsi="宋体" w:eastAsia="宋体"/>
          <w:b/>
          <w:bCs/>
          <w:sz w:val="24"/>
          <w:szCs w:val="28"/>
        </w:rPr>
      </w:pPr>
      <w:r>
        <w:rPr>
          <w:rFonts w:hint="eastAsia" w:ascii="宋体" w:hAnsi="宋体" w:eastAsia="宋体"/>
          <w:b/>
          <w:bCs/>
          <w:sz w:val="24"/>
          <w:szCs w:val="28"/>
          <w:lang w:val="en-US" w:eastAsia="zh-CN"/>
        </w:rPr>
        <w:t>4.</w:t>
      </w:r>
      <w:r>
        <w:rPr>
          <w:rFonts w:hint="eastAsia" w:ascii="宋体" w:hAnsi="宋体" w:eastAsia="宋体"/>
          <w:b/>
          <w:bCs/>
          <w:sz w:val="24"/>
          <w:szCs w:val="28"/>
        </w:rPr>
        <w:t>表中大写金额与小写金额不一致的，以大写金额为准。</w:t>
      </w:r>
    </w:p>
    <w:p w14:paraId="2E106644">
      <w:pPr>
        <w:widowControl/>
        <w:jc w:val="left"/>
        <w:rPr>
          <w:rFonts w:ascii="宋体" w:hAnsi="宋体" w:eastAsia="宋体"/>
          <w:b/>
          <w:bCs/>
          <w:sz w:val="24"/>
          <w:szCs w:val="28"/>
        </w:rPr>
      </w:pPr>
      <w:r>
        <w:rPr>
          <w:rFonts w:ascii="宋体" w:hAnsi="宋体" w:eastAsia="宋体"/>
          <w:b/>
          <w:bCs/>
          <w:sz w:val="24"/>
          <w:szCs w:val="28"/>
        </w:rPr>
        <w:br w:type="page"/>
      </w:r>
    </w:p>
    <w:p w14:paraId="78DA9B51">
      <w:pPr>
        <w:spacing w:line="360" w:lineRule="auto"/>
        <w:jc w:val="center"/>
        <w:outlineLvl w:val="1"/>
        <w:rPr>
          <w:rFonts w:asciiTheme="minorEastAsia" w:hAnsiTheme="minorEastAsia" w:eastAsiaTheme="minorEastAsia"/>
          <w:b/>
          <w:sz w:val="24"/>
        </w:rPr>
      </w:pPr>
      <w:bookmarkStart w:id="175" w:name="_Toc461053087"/>
      <w:bookmarkStart w:id="176" w:name="_Toc461056632"/>
      <w:bookmarkStart w:id="177" w:name="_Toc24402"/>
      <w:bookmarkStart w:id="178" w:name="_Toc520983588"/>
      <w:r>
        <w:rPr>
          <w:rFonts w:hint="eastAsia" w:asciiTheme="minorEastAsia" w:hAnsiTheme="minorEastAsia" w:eastAsiaTheme="minorEastAsia"/>
          <w:b/>
          <w:sz w:val="24"/>
        </w:rPr>
        <w:t>二</w:t>
      </w:r>
      <w:bookmarkEnd w:id="175"/>
      <w:bookmarkEnd w:id="176"/>
      <w:r>
        <w:rPr>
          <w:rFonts w:hint="eastAsia" w:asciiTheme="minorEastAsia" w:hAnsiTheme="minorEastAsia" w:eastAsiaTheme="minorEastAsia"/>
          <w:b/>
          <w:sz w:val="24"/>
        </w:rPr>
        <w:t>、最后承诺报价表</w:t>
      </w:r>
      <w:bookmarkEnd w:id="177"/>
      <w:bookmarkEnd w:id="178"/>
    </w:p>
    <w:p w14:paraId="766A8994">
      <w:pPr>
        <w:spacing w:before="156" w:beforeLines="50" w:after="156" w:afterLines="50" w:line="360" w:lineRule="auto"/>
        <w:ind w:firstLine="236" w:firstLineChars="98"/>
        <w:jc w:val="center"/>
        <w:rPr>
          <w:rFonts w:ascii="宋体" w:hAnsi="宋体" w:eastAsia="宋体"/>
          <w:b/>
          <w:sz w:val="24"/>
          <w:szCs w:val="28"/>
        </w:rPr>
      </w:pPr>
      <w:r>
        <w:rPr>
          <w:rFonts w:hint="eastAsia" w:ascii="宋体" w:hAnsi="宋体" w:eastAsia="宋体"/>
          <w:b/>
          <w:sz w:val="24"/>
          <w:szCs w:val="28"/>
        </w:rPr>
        <w:t>（</w:t>
      </w:r>
      <w:r>
        <w:rPr>
          <w:rFonts w:hint="eastAsia" w:ascii="宋体" w:hAnsi="宋体" w:eastAsia="宋体"/>
          <w:b/>
          <w:sz w:val="24"/>
          <w:szCs w:val="28"/>
          <w:lang w:eastAsia="zh-CN"/>
        </w:rPr>
        <w:t>滁州学院校友信息管理系统升级改造项目</w:t>
      </w:r>
      <w:r>
        <w:rPr>
          <w:rFonts w:hint="eastAsia" w:ascii="宋体" w:hAnsi="宋体" w:eastAsia="宋体"/>
          <w:b/>
          <w:sz w:val="24"/>
          <w:szCs w:val="28"/>
        </w:rPr>
        <w:t>第</w:t>
      </w:r>
      <w:r>
        <w:rPr>
          <w:rFonts w:hint="eastAsia" w:ascii="宋体" w:hAnsi="宋体" w:eastAsia="宋体"/>
          <w:b/>
          <w:sz w:val="24"/>
          <w:szCs w:val="28"/>
          <w:u w:val="single"/>
        </w:rPr>
        <w:t xml:space="preserve">   </w:t>
      </w:r>
      <w:r>
        <w:rPr>
          <w:rFonts w:hint="eastAsia" w:ascii="宋体" w:hAnsi="宋体" w:eastAsia="宋体"/>
          <w:b/>
          <w:sz w:val="24"/>
          <w:szCs w:val="28"/>
        </w:rPr>
        <w:t>次报价书）</w:t>
      </w:r>
    </w:p>
    <w:p w14:paraId="1291A114">
      <w:pPr>
        <w:snapToGrid w:val="0"/>
        <w:spacing w:line="360" w:lineRule="auto"/>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r>
        <w:rPr>
          <w:rFonts w:hint="eastAsia" w:ascii="宋体" w:hAnsi="宋体" w:eastAsia="宋体"/>
          <w:b/>
          <w:sz w:val="24"/>
          <w:szCs w:val="28"/>
          <w:u w:val="single"/>
          <w:lang w:eastAsia="zh-CN"/>
        </w:rPr>
        <w:t>滁州学院校友信息管理系统升级改造项目</w:t>
      </w:r>
      <w:r>
        <w:rPr>
          <w:rFonts w:hint="eastAsia" w:ascii="宋体" w:hAnsi="宋体" w:eastAsia="宋体"/>
          <w:b/>
          <w:sz w:val="24"/>
          <w:szCs w:val="28"/>
          <w:u w:val="single"/>
        </w:rPr>
        <w:t xml:space="preserve">     </w:t>
      </w:r>
    </w:p>
    <w:p w14:paraId="5091CBF0">
      <w:pPr>
        <w:snapToGrid w:val="0"/>
        <w:spacing w:after="156" w:afterLines="50" w:line="360" w:lineRule="auto"/>
        <w:jc w:val="left"/>
        <w:rPr>
          <w:rFonts w:ascii="宋体" w:hAnsi="宋体" w:eastAsia="宋体"/>
          <w:b/>
          <w:bCs/>
          <w:sz w:val="24"/>
          <w:szCs w:val="28"/>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r>
        <w:rPr>
          <w:rFonts w:hint="eastAsia" w:ascii="宋体" w:hAnsi="宋体" w:eastAsia="宋体"/>
          <w:b/>
          <w:sz w:val="24"/>
          <w:szCs w:val="28"/>
          <w:u w:val="single"/>
          <w:lang w:eastAsia="zh-CN"/>
        </w:rPr>
        <w:t>2025HBAFN00034</w:t>
      </w:r>
      <w:r>
        <w:rPr>
          <w:rFonts w:hint="eastAsia" w:ascii="宋体" w:hAnsi="宋体" w:eastAsia="宋体"/>
          <w:b/>
          <w:sz w:val="24"/>
          <w:szCs w:val="28"/>
          <w:u w:val="single"/>
        </w:rPr>
        <w:t xml:space="preserve">     </w:t>
      </w: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9"/>
        <w:gridCol w:w="6063"/>
      </w:tblGrid>
      <w:tr w14:paraId="0F79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28A56308">
            <w:pPr>
              <w:spacing w:line="360" w:lineRule="auto"/>
              <w:jc w:val="center"/>
              <w:rPr>
                <w:rFonts w:ascii="宋体" w:hAnsi="宋体" w:eastAsia="宋体"/>
                <w:b/>
                <w:sz w:val="24"/>
              </w:rPr>
            </w:pPr>
            <w:r>
              <w:rPr>
                <w:rFonts w:hint="eastAsia" w:ascii="宋体" w:hAnsi="宋体" w:eastAsia="宋体"/>
                <w:b/>
                <w:sz w:val="24"/>
              </w:rPr>
              <w:t>供应商名称</w:t>
            </w:r>
          </w:p>
        </w:tc>
        <w:tc>
          <w:tcPr>
            <w:tcW w:w="6063" w:type="dxa"/>
            <w:tcBorders>
              <w:left w:val="single" w:color="auto" w:sz="4" w:space="0"/>
            </w:tcBorders>
          </w:tcPr>
          <w:p w14:paraId="5649FFFA">
            <w:pPr>
              <w:spacing w:line="360" w:lineRule="auto"/>
              <w:rPr>
                <w:rFonts w:ascii="宋体" w:hAnsi="宋体" w:eastAsia="宋体"/>
                <w:b/>
                <w:sz w:val="24"/>
              </w:rPr>
            </w:pPr>
          </w:p>
        </w:tc>
      </w:tr>
      <w:tr w14:paraId="6A706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2459" w:type="dxa"/>
            <w:tcBorders>
              <w:top w:val="single" w:color="auto" w:sz="4" w:space="0"/>
              <w:left w:val="single" w:color="auto" w:sz="4" w:space="0"/>
              <w:bottom w:val="single" w:color="auto" w:sz="4" w:space="0"/>
              <w:right w:val="single" w:color="auto" w:sz="4" w:space="0"/>
            </w:tcBorders>
            <w:vAlign w:val="center"/>
          </w:tcPr>
          <w:p w14:paraId="1DAF8671">
            <w:pPr>
              <w:spacing w:line="360" w:lineRule="exact"/>
              <w:jc w:val="center"/>
              <w:rPr>
                <w:rFonts w:ascii="宋体" w:hAnsi="宋体" w:eastAsia="宋体"/>
                <w:b/>
                <w:sz w:val="24"/>
              </w:rPr>
            </w:pPr>
            <w:r>
              <w:rPr>
                <w:rFonts w:hint="eastAsia" w:ascii="宋体" w:hAnsi="宋体" w:eastAsia="宋体"/>
                <w:b/>
                <w:bCs/>
                <w:sz w:val="24"/>
                <w:szCs w:val="28"/>
              </w:rPr>
              <w:t>磋商</w:t>
            </w:r>
            <w:r>
              <w:rPr>
                <w:rFonts w:hint="eastAsia" w:ascii="宋体" w:hAnsi="宋体" w:eastAsia="宋体"/>
                <w:b/>
                <w:sz w:val="24"/>
              </w:rPr>
              <w:t>范围</w:t>
            </w:r>
          </w:p>
        </w:tc>
        <w:tc>
          <w:tcPr>
            <w:tcW w:w="6063" w:type="dxa"/>
            <w:tcBorders>
              <w:left w:val="single" w:color="auto" w:sz="4" w:space="0"/>
            </w:tcBorders>
            <w:vAlign w:val="center"/>
          </w:tcPr>
          <w:p w14:paraId="41CBD381">
            <w:pPr>
              <w:widowControl/>
              <w:spacing w:line="360" w:lineRule="exact"/>
              <w:rPr>
                <w:rFonts w:ascii="宋体" w:hAnsi="宋体" w:eastAsia="宋体"/>
                <w:b/>
                <w:sz w:val="24"/>
              </w:rPr>
            </w:pPr>
            <w:r>
              <w:rPr>
                <w:rFonts w:hint="eastAsia" w:asciiTheme="minorEastAsia" w:hAnsiTheme="minorEastAsia" w:eastAsiaTheme="minorEastAsia"/>
                <w:sz w:val="24"/>
                <w:szCs w:val="28"/>
              </w:rPr>
              <w:t xml:space="preserve">全部 </w:t>
            </w:r>
          </w:p>
        </w:tc>
      </w:tr>
      <w:tr w14:paraId="34936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459" w:type="dxa"/>
            <w:tcBorders>
              <w:top w:val="single" w:color="auto" w:sz="4" w:space="0"/>
            </w:tcBorders>
            <w:vAlign w:val="center"/>
          </w:tcPr>
          <w:p w14:paraId="561AE4CD">
            <w:pPr>
              <w:spacing w:line="360" w:lineRule="auto"/>
              <w:jc w:val="center"/>
              <w:rPr>
                <w:rFonts w:ascii="宋体" w:hAnsi="宋体" w:eastAsia="宋体"/>
                <w:b/>
                <w:sz w:val="24"/>
              </w:rPr>
            </w:pPr>
            <w:r>
              <w:rPr>
                <w:rFonts w:hint="eastAsia" w:ascii="宋体" w:hAnsi="宋体" w:eastAsia="宋体"/>
                <w:b/>
                <w:bCs/>
                <w:sz w:val="24"/>
                <w:szCs w:val="28"/>
              </w:rPr>
              <w:t>最后报价</w:t>
            </w:r>
          </w:p>
          <w:p w14:paraId="0298CE14">
            <w:pPr>
              <w:spacing w:line="360" w:lineRule="auto"/>
              <w:jc w:val="center"/>
              <w:rPr>
                <w:rFonts w:ascii="宋体" w:hAnsi="宋体" w:eastAsia="宋体"/>
                <w:b/>
                <w:sz w:val="24"/>
              </w:rPr>
            </w:pPr>
            <w:r>
              <w:rPr>
                <w:rFonts w:hint="eastAsia" w:ascii="宋体" w:hAnsi="宋体" w:eastAsia="宋体"/>
                <w:b/>
                <w:sz w:val="24"/>
              </w:rPr>
              <w:t>（详见备注说明）</w:t>
            </w:r>
          </w:p>
        </w:tc>
        <w:tc>
          <w:tcPr>
            <w:tcW w:w="6063" w:type="dxa"/>
            <w:vAlign w:val="center"/>
          </w:tcPr>
          <w:p w14:paraId="7B4163DD">
            <w:pPr>
              <w:snapToGrid w:val="0"/>
              <w:spacing w:line="360" w:lineRule="auto"/>
              <w:rPr>
                <w:rFonts w:ascii="宋体" w:hAnsi="宋体" w:eastAsia="宋体"/>
                <w:sz w:val="24"/>
                <w:szCs w:val="28"/>
              </w:rPr>
            </w:pPr>
          </w:p>
          <w:p w14:paraId="6BFD733A">
            <w:pPr>
              <w:snapToGrid w:val="0"/>
              <w:spacing w:line="360" w:lineRule="auto"/>
              <w:rPr>
                <w:rFonts w:ascii="宋体" w:hAnsi="宋体" w:eastAsia="宋体"/>
                <w:bCs/>
                <w:sz w:val="24"/>
                <w:u w:val="single"/>
              </w:rPr>
            </w:pPr>
            <w:r>
              <w:rPr>
                <w:rFonts w:hint="eastAsia" w:ascii="宋体" w:hAnsi="宋体" w:eastAsia="宋体"/>
                <w:bCs/>
                <w:sz w:val="24"/>
              </w:rPr>
              <w:t>人民币大写：</w:t>
            </w:r>
            <w:r>
              <w:rPr>
                <w:rFonts w:hint="eastAsia" w:ascii="宋体" w:hAnsi="宋体" w:eastAsia="宋体"/>
                <w:bCs/>
                <w:sz w:val="24"/>
                <w:u w:val="single"/>
              </w:rPr>
              <w:t xml:space="preserve">                        </w:t>
            </w:r>
          </w:p>
          <w:p w14:paraId="534DA5A1">
            <w:pPr>
              <w:snapToGrid w:val="0"/>
              <w:spacing w:line="360" w:lineRule="auto"/>
              <w:rPr>
                <w:rFonts w:ascii="宋体" w:hAnsi="宋体" w:eastAsia="宋体"/>
                <w:b/>
                <w:sz w:val="24"/>
              </w:rPr>
            </w:pPr>
          </w:p>
        </w:tc>
      </w:tr>
      <w:tr w14:paraId="3F564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2459" w:type="dxa"/>
            <w:vAlign w:val="center"/>
          </w:tcPr>
          <w:p w14:paraId="34AACE52">
            <w:pPr>
              <w:spacing w:line="360" w:lineRule="auto"/>
              <w:jc w:val="center"/>
              <w:rPr>
                <w:rFonts w:ascii="宋体" w:hAnsi="宋体" w:eastAsia="宋体"/>
                <w:b/>
                <w:sz w:val="24"/>
              </w:rPr>
            </w:pPr>
            <w:r>
              <w:rPr>
                <w:rFonts w:hint="eastAsia" w:ascii="宋体" w:hAnsi="宋体" w:eastAsia="宋体"/>
                <w:b/>
                <w:sz w:val="24"/>
              </w:rPr>
              <w:t>备注说明</w:t>
            </w:r>
          </w:p>
        </w:tc>
        <w:tc>
          <w:tcPr>
            <w:tcW w:w="6063" w:type="dxa"/>
          </w:tcPr>
          <w:p w14:paraId="7073462D">
            <w:pPr>
              <w:spacing w:line="360" w:lineRule="auto"/>
              <w:rPr>
                <w:rFonts w:ascii="宋体" w:hAnsi="宋体" w:eastAsia="宋体"/>
                <w:b/>
                <w:sz w:val="24"/>
              </w:rPr>
            </w:pPr>
            <w:r>
              <w:rPr>
                <w:rFonts w:hint="eastAsia" w:ascii="宋体" w:hAnsi="宋体" w:eastAsia="宋体"/>
                <w:b/>
                <w:i/>
                <w:sz w:val="24"/>
              </w:rPr>
              <w:t>（此处可补充磋商小组根据与供应商磋商情况变动的磋商文件的内容，包括采购需求中的技术、服务要求以及合同草案条款。）</w:t>
            </w:r>
          </w:p>
        </w:tc>
      </w:tr>
      <w:tr w14:paraId="00FF3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2459" w:type="dxa"/>
            <w:vAlign w:val="center"/>
          </w:tcPr>
          <w:p w14:paraId="3B85EF7A">
            <w:pPr>
              <w:spacing w:line="360" w:lineRule="auto"/>
              <w:jc w:val="center"/>
              <w:rPr>
                <w:rFonts w:ascii="宋体" w:hAnsi="宋体" w:eastAsia="宋体"/>
                <w:b/>
                <w:sz w:val="24"/>
              </w:rPr>
            </w:pPr>
            <w:r>
              <w:rPr>
                <w:rFonts w:hint="eastAsia" w:ascii="宋体" w:hAnsi="宋体" w:eastAsia="宋体"/>
                <w:b/>
                <w:bCs/>
                <w:sz w:val="24"/>
                <w:szCs w:val="28"/>
              </w:rPr>
              <w:t>磋商小组</w:t>
            </w:r>
            <w:r>
              <w:rPr>
                <w:rFonts w:ascii="宋体" w:hAnsi="宋体" w:eastAsia="宋体"/>
                <w:b/>
                <w:bCs/>
                <w:sz w:val="24"/>
                <w:szCs w:val="28"/>
              </w:rPr>
              <w:t>签字</w:t>
            </w:r>
          </w:p>
        </w:tc>
        <w:tc>
          <w:tcPr>
            <w:tcW w:w="6063" w:type="dxa"/>
          </w:tcPr>
          <w:p w14:paraId="5F9D74E8">
            <w:pPr>
              <w:spacing w:line="360" w:lineRule="auto"/>
              <w:rPr>
                <w:rFonts w:ascii="宋体" w:hAnsi="宋体" w:eastAsia="宋体"/>
                <w:b/>
                <w:sz w:val="24"/>
              </w:rPr>
            </w:pPr>
          </w:p>
        </w:tc>
      </w:tr>
    </w:tbl>
    <w:p w14:paraId="47FE4436">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供应商公章或授权代表签字：</w:t>
      </w:r>
    </w:p>
    <w:p w14:paraId="1EADDC3F">
      <w:pPr>
        <w:spacing w:line="360" w:lineRule="auto"/>
        <w:ind w:firstLine="5040" w:firstLineChars="2100"/>
        <w:jc w:val="left"/>
        <w:rPr>
          <w:rFonts w:ascii="宋体" w:hAnsi="宋体" w:eastAsia="宋体"/>
          <w:sz w:val="24"/>
          <w:u w:val="single"/>
        </w:rPr>
      </w:pPr>
      <w:r>
        <w:rPr>
          <w:rFonts w:hint="eastAsia" w:ascii="宋体" w:hAnsi="宋体" w:eastAsia="宋体"/>
          <w:sz w:val="24"/>
        </w:rPr>
        <w:t xml:space="preserve">日      期：                    </w:t>
      </w:r>
    </w:p>
    <w:p w14:paraId="7A3096B9">
      <w:pPr>
        <w:spacing w:line="360" w:lineRule="auto"/>
        <w:jc w:val="left"/>
        <w:rPr>
          <w:rFonts w:hint="eastAsia" w:ascii="宋体" w:hAnsi="宋体" w:eastAsia="宋体"/>
          <w:b/>
          <w:bCs/>
          <w:sz w:val="24"/>
        </w:rPr>
      </w:pPr>
      <w:r>
        <w:rPr>
          <w:rFonts w:hint="eastAsia" w:ascii="宋体" w:hAnsi="宋体" w:eastAsia="宋体"/>
          <w:b/>
          <w:bCs/>
          <w:sz w:val="24"/>
        </w:rPr>
        <w:t>注：</w:t>
      </w:r>
    </w:p>
    <w:p w14:paraId="6E570E2B">
      <w:pPr>
        <w:numPr>
          <w:ilvl w:val="0"/>
          <w:numId w:val="3"/>
        </w:numPr>
        <w:spacing w:line="360" w:lineRule="auto"/>
        <w:jc w:val="left"/>
        <w:rPr>
          <w:rFonts w:hint="eastAsia" w:ascii="宋体" w:hAnsi="宋体" w:eastAsia="宋体"/>
          <w:bCs/>
          <w:sz w:val="24"/>
        </w:rPr>
      </w:pPr>
      <w:r>
        <w:rPr>
          <w:rFonts w:hint="eastAsia" w:ascii="宋体" w:hAnsi="宋体" w:eastAsia="宋体"/>
          <w:b/>
          <w:bCs/>
          <w:sz w:val="24"/>
        </w:rPr>
        <w:t>本页《报价表》由供应商在接到报价通知后依据磋商情况填写,并在规定时间内上传。</w:t>
      </w:r>
      <w:r>
        <w:rPr>
          <w:rFonts w:hint="eastAsia" w:ascii="宋体" w:hAnsi="宋体" w:eastAsia="宋体"/>
          <w:sz w:val="24"/>
        </w:rPr>
        <w:t>考虑磋商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w:t>
      </w:r>
      <w:r>
        <w:rPr>
          <w:rFonts w:hint="eastAsia" w:ascii="宋体" w:hAnsi="宋体" w:eastAsia="宋体"/>
          <w:bCs/>
          <w:sz w:val="24"/>
        </w:rPr>
        <w:t>此优惠率调整原则适用于合同内价格的计算及项目增减、变更时价格的计算。</w:t>
      </w:r>
    </w:p>
    <w:p w14:paraId="72DBFD0A">
      <w:pPr>
        <w:adjustRightInd w:val="0"/>
        <w:snapToGrid w:val="0"/>
        <w:spacing w:line="360" w:lineRule="auto"/>
        <w:ind w:firstLine="482" w:firstLineChars="200"/>
        <w:rPr>
          <w:rFonts w:hint="eastAsia" w:ascii="宋体" w:hAnsi="宋体" w:eastAsia="宋体"/>
          <w:bCs/>
          <w:sz w:val="24"/>
        </w:rPr>
      </w:pPr>
      <w:r>
        <w:rPr>
          <w:rFonts w:hint="eastAsia" w:ascii="宋体" w:hAnsi="宋体" w:eastAsia="宋体"/>
          <w:b/>
          <w:bCs/>
          <w:sz w:val="24"/>
          <w:szCs w:val="28"/>
          <w:lang w:val="en-US" w:eastAsia="zh-CN"/>
        </w:rPr>
        <w:t>2.</w:t>
      </w:r>
      <w:r>
        <w:rPr>
          <w:rFonts w:hint="eastAsia" w:ascii="宋体" w:hAnsi="宋体" w:eastAsia="宋体"/>
          <w:b/>
          <w:bCs/>
          <w:sz w:val="24"/>
          <w:szCs w:val="28"/>
        </w:rPr>
        <w:t>表中大写金额与小写金额不一致的，以大写金额为准。</w:t>
      </w:r>
    </w:p>
    <w:p w14:paraId="2E6731FC">
      <w:pPr>
        <w:widowControl/>
        <w:jc w:val="left"/>
        <w:rPr>
          <w:rFonts w:ascii="宋体" w:hAnsi="宋体" w:eastAsia="宋体"/>
          <w:bCs/>
          <w:sz w:val="24"/>
        </w:rPr>
      </w:pPr>
      <w:r>
        <w:rPr>
          <w:rFonts w:ascii="宋体" w:hAnsi="宋体" w:eastAsia="宋体"/>
          <w:bCs/>
          <w:sz w:val="24"/>
        </w:rPr>
        <w:br w:type="page"/>
      </w:r>
    </w:p>
    <w:p w14:paraId="6B4AADFF">
      <w:pPr>
        <w:spacing w:line="360" w:lineRule="auto"/>
        <w:jc w:val="center"/>
        <w:outlineLvl w:val="1"/>
        <w:rPr>
          <w:rFonts w:asciiTheme="minorEastAsia" w:hAnsiTheme="minorEastAsia" w:eastAsiaTheme="minorEastAsia"/>
          <w:b/>
          <w:sz w:val="24"/>
        </w:rPr>
      </w:pPr>
      <w:bookmarkStart w:id="179" w:name="_Toc520983591"/>
      <w:bookmarkStart w:id="180" w:name="_Toc31777"/>
      <w:r>
        <w:rPr>
          <w:rFonts w:hint="eastAsia" w:asciiTheme="minorEastAsia" w:hAnsiTheme="minorEastAsia" w:eastAsiaTheme="minorEastAsia"/>
          <w:b/>
          <w:sz w:val="24"/>
        </w:rPr>
        <w:t>三、磋商响应函</w:t>
      </w:r>
      <w:bookmarkEnd w:id="179"/>
      <w:bookmarkEnd w:id="180"/>
    </w:p>
    <w:p w14:paraId="3C5F8D84">
      <w:pPr>
        <w:pStyle w:val="11"/>
        <w:spacing w:line="360" w:lineRule="auto"/>
        <w:rPr>
          <w:rFonts w:hint="eastAsia" w:ascii="宋体" w:hAnsi="宋体" w:eastAsia="宋体"/>
          <w:sz w:val="24"/>
          <w:lang w:eastAsia="zh-CN"/>
        </w:rPr>
      </w:pPr>
      <w:r>
        <w:rPr>
          <w:rFonts w:hint="eastAsia" w:ascii="宋体" w:hAnsi="宋体"/>
          <w:sz w:val="24"/>
        </w:rPr>
        <w:t>致：</w:t>
      </w:r>
      <w:r>
        <w:rPr>
          <w:rFonts w:hint="eastAsia" w:ascii="宋体" w:hAnsi="宋体"/>
          <w:sz w:val="24"/>
          <w:lang w:eastAsia="zh-CN"/>
        </w:rPr>
        <w:t>滁州学院教育发展基金会</w:t>
      </w:r>
    </w:p>
    <w:p w14:paraId="2B2F6371">
      <w:pPr>
        <w:pStyle w:val="11"/>
        <w:spacing w:line="360" w:lineRule="auto"/>
        <w:ind w:firstLine="472" w:firstLineChars="196"/>
        <w:rPr>
          <w:rFonts w:ascii="宋体" w:hAnsi="宋体"/>
          <w:sz w:val="24"/>
        </w:rPr>
      </w:pPr>
      <w:r>
        <w:rPr>
          <w:rFonts w:hint="eastAsia" w:ascii="宋体" w:hAnsi="宋体"/>
          <w:sz w:val="24"/>
          <w:szCs w:val="24"/>
        </w:rPr>
        <w:t>安徽公共资源交易集团项目管理有限公司</w:t>
      </w:r>
    </w:p>
    <w:p w14:paraId="7B2B85E7">
      <w:pPr>
        <w:spacing w:line="360" w:lineRule="auto"/>
        <w:ind w:firstLine="480" w:firstLineChars="200"/>
        <w:rPr>
          <w:rFonts w:ascii="宋体" w:hAnsi="宋体" w:eastAsia="宋体"/>
          <w:dstrike/>
          <w:sz w:val="24"/>
        </w:rPr>
      </w:pPr>
      <w:r>
        <w:rPr>
          <w:rFonts w:hint="eastAsia" w:ascii="宋体" w:hAnsi="宋体" w:eastAsia="宋体"/>
          <w:sz w:val="24"/>
        </w:rPr>
        <w:t>根据贵方的竞争性磋商公告和磋商邀请，我方兹宣布同意如下：</w:t>
      </w:r>
    </w:p>
    <w:p w14:paraId="471FDB1D">
      <w:pPr>
        <w:spacing w:line="360" w:lineRule="auto"/>
        <w:ind w:firstLine="480" w:firstLineChars="200"/>
        <w:rPr>
          <w:rFonts w:ascii="宋体" w:hAnsi="宋体" w:eastAsia="宋体"/>
          <w:sz w:val="24"/>
        </w:rPr>
      </w:pPr>
      <w:r>
        <w:rPr>
          <w:rFonts w:hint="eastAsia" w:ascii="宋体" w:hAnsi="宋体" w:eastAsia="宋体"/>
          <w:sz w:val="24"/>
        </w:rPr>
        <w:t>1.如我公司成交，我公司承诺愿意按磋商文件规定缴纳履约保证金和</w:t>
      </w:r>
      <w:r>
        <w:rPr>
          <w:rFonts w:hint="eastAsia" w:ascii="宋体" w:hAnsi="宋体" w:eastAsia="宋体"/>
          <w:sz w:val="24"/>
          <w:lang w:val="en-US" w:eastAsia="zh-CN"/>
        </w:rPr>
        <w:t>代理费用</w:t>
      </w:r>
      <w:r>
        <w:rPr>
          <w:rFonts w:hint="eastAsia" w:ascii="宋体" w:hAnsi="宋体" w:eastAsia="宋体"/>
          <w:sz w:val="24"/>
        </w:rPr>
        <w:t>。按本次磋商文件规定及最后报价承诺提供服务。</w:t>
      </w:r>
    </w:p>
    <w:p w14:paraId="44510BD9">
      <w:pPr>
        <w:spacing w:line="360" w:lineRule="auto"/>
        <w:ind w:firstLine="480" w:firstLineChars="200"/>
        <w:rPr>
          <w:rFonts w:ascii="宋体" w:hAnsi="宋体" w:eastAsia="宋体"/>
          <w:sz w:val="24"/>
        </w:rPr>
      </w:pPr>
      <w:r>
        <w:rPr>
          <w:rFonts w:hint="eastAsia" w:ascii="宋体" w:hAnsi="宋体" w:eastAsia="宋体"/>
          <w:sz w:val="24"/>
        </w:rPr>
        <w:t>2.我方根据本次磋商文件的规定，严格履行合同的责任和义务</w:t>
      </w:r>
      <w:r>
        <w:rPr>
          <w:rFonts w:ascii="宋体" w:hAnsi="宋体" w:eastAsia="宋体"/>
          <w:sz w:val="24"/>
        </w:rPr>
        <w:t>,</w:t>
      </w:r>
      <w:r>
        <w:rPr>
          <w:rFonts w:hint="eastAsia" w:ascii="宋体" w:hAnsi="宋体" w:eastAsia="宋体"/>
          <w:sz w:val="24"/>
        </w:rPr>
        <w:t>并保证于买方要求的日期内完成，并通过买方验收。</w:t>
      </w:r>
    </w:p>
    <w:p w14:paraId="015C07D6">
      <w:pPr>
        <w:spacing w:line="360" w:lineRule="auto"/>
        <w:ind w:firstLine="480" w:firstLineChars="200"/>
        <w:rPr>
          <w:rFonts w:ascii="宋体" w:hAnsi="宋体" w:eastAsia="宋体"/>
          <w:sz w:val="24"/>
        </w:rPr>
      </w:pPr>
      <w:r>
        <w:rPr>
          <w:rFonts w:hint="eastAsia" w:ascii="宋体" w:hAnsi="宋体" w:eastAsia="宋体"/>
          <w:sz w:val="24"/>
        </w:rPr>
        <w:t>3.我方承诺报价低于</w:t>
      </w:r>
      <w:r>
        <w:rPr>
          <w:rFonts w:ascii="宋体" w:hAnsi="宋体" w:eastAsia="宋体"/>
          <w:sz w:val="24"/>
        </w:rPr>
        <w:t>同类</w:t>
      </w:r>
      <w:r>
        <w:rPr>
          <w:rFonts w:hint="eastAsia" w:ascii="宋体" w:hAnsi="宋体" w:eastAsia="宋体"/>
          <w:sz w:val="24"/>
        </w:rPr>
        <w:t>货物和</w:t>
      </w:r>
      <w:r>
        <w:rPr>
          <w:rFonts w:ascii="宋体" w:hAnsi="宋体" w:eastAsia="宋体"/>
          <w:sz w:val="24"/>
        </w:rPr>
        <w:t>服务的市场平均价格。</w:t>
      </w:r>
    </w:p>
    <w:p w14:paraId="4A347699">
      <w:pPr>
        <w:spacing w:line="360" w:lineRule="auto"/>
        <w:ind w:firstLine="480" w:firstLineChars="200"/>
        <w:rPr>
          <w:rFonts w:ascii="宋体" w:hAnsi="宋体" w:eastAsia="宋体"/>
          <w:sz w:val="24"/>
        </w:rPr>
      </w:pPr>
      <w:r>
        <w:rPr>
          <w:rFonts w:hint="eastAsia" w:ascii="宋体" w:hAnsi="宋体" w:eastAsia="宋体"/>
          <w:sz w:val="24"/>
        </w:rPr>
        <w:t>4.我方已详细审核本次磋商文件，包括磋商文件附件、参考资料、磋商文件修改书或图纸（如有），我方正式认可并遵守本次磋商文件，并对磋商文件各项条款、规定及要求均无异议。我方知道必须放弃提出含糊不清或误解问题的权利。</w:t>
      </w:r>
    </w:p>
    <w:p w14:paraId="561FA4C4">
      <w:pPr>
        <w:spacing w:line="360" w:lineRule="auto"/>
        <w:ind w:firstLine="480" w:firstLineChars="200"/>
        <w:rPr>
          <w:rFonts w:ascii="宋体" w:hAnsi="宋体" w:eastAsia="宋体"/>
          <w:sz w:val="24"/>
        </w:rPr>
      </w:pPr>
      <w:r>
        <w:rPr>
          <w:rFonts w:hint="eastAsia" w:ascii="宋体" w:hAnsi="宋体" w:eastAsia="宋体"/>
          <w:sz w:val="24"/>
        </w:rPr>
        <w:t>5.我方同意从供应商须知规定的磋商日期起遵循本磋商文件，并在供应商须知规定的磋商有效期之前均具有约束力。</w:t>
      </w:r>
    </w:p>
    <w:p w14:paraId="665B736B">
      <w:pPr>
        <w:spacing w:line="360" w:lineRule="auto"/>
        <w:ind w:firstLine="480" w:firstLineChars="200"/>
        <w:rPr>
          <w:rFonts w:ascii="宋体" w:hAnsi="宋体" w:eastAsia="宋体"/>
          <w:sz w:val="24"/>
        </w:rPr>
      </w:pPr>
      <w:r>
        <w:rPr>
          <w:rFonts w:hint="eastAsia" w:ascii="宋体" w:hAnsi="宋体" w:eastAsia="宋体"/>
          <w:sz w:val="24"/>
        </w:rPr>
        <w:t>6.我方同意按贵方要求在磋商规定时间内向贵方提供与其磋商有关的任何证据或补充资料，否则，我方的响应文件可被贵方拒绝。</w:t>
      </w:r>
    </w:p>
    <w:p w14:paraId="00BF1ADB">
      <w:pPr>
        <w:spacing w:line="360" w:lineRule="auto"/>
        <w:ind w:firstLine="480" w:firstLineChars="200"/>
        <w:rPr>
          <w:rFonts w:ascii="宋体" w:hAnsi="宋体" w:eastAsia="宋体"/>
          <w:sz w:val="24"/>
        </w:rPr>
      </w:pPr>
      <w:r>
        <w:rPr>
          <w:rFonts w:hint="eastAsia" w:ascii="宋体" w:hAnsi="宋体" w:eastAsia="宋体"/>
          <w:sz w:val="24"/>
        </w:rPr>
        <w:t>7.我方完全理解贵方不一定接受最低报价的磋商。</w:t>
      </w:r>
    </w:p>
    <w:p w14:paraId="5F9F33F5">
      <w:pPr>
        <w:spacing w:line="360" w:lineRule="auto"/>
        <w:ind w:firstLine="480" w:firstLineChars="200"/>
        <w:rPr>
          <w:rFonts w:ascii="宋体" w:hAnsi="宋体" w:eastAsia="宋体"/>
          <w:sz w:val="24"/>
        </w:rPr>
      </w:pPr>
      <w:r>
        <w:rPr>
          <w:rFonts w:hint="eastAsia" w:ascii="宋体" w:hAnsi="宋体" w:eastAsia="宋体"/>
          <w:sz w:val="24"/>
        </w:rPr>
        <w:t>8.我方同意磋商文件规定的付款方式、服务期限。</w:t>
      </w:r>
    </w:p>
    <w:p w14:paraId="2E6F8DA9">
      <w:pPr>
        <w:spacing w:line="360" w:lineRule="auto"/>
        <w:ind w:firstLine="480" w:firstLineChars="200"/>
        <w:rPr>
          <w:rFonts w:hint="eastAsia" w:ascii="宋体" w:hAnsi="宋体" w:eastAsia="宋体"/>
          <w:sz w:val="24"/>
        </w:rPr>
      </w:pPr>
      <w:r>
        <w:rPr>
          <w:rFonts w:hint="eastAsia" w:ascii="宋体" w:hAnsi="宋体" w:eastAsia="宋体"/>
          <w:sz w:val="24"/>
        </w:rPr>
        <w:t>9.我方对响应文件中所提供资料、文件、证书及证件的真实性和有效性负责。</w:t>
      </w:r>
    </w:p>
    <w:p w14:paraId="05D45290">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Times New Roman"/>
          <w:b/>
          <w:bCs/>
          <w:color w:val="auto"/>
          <w:sz w:val="24"/>
          <w:szCs w:val="22"/>
          <w:highlight w:val="none"/>
          <w:lang w:eastAsia="zh-CN"/>
        </w:rPr>
      </w:pPr>
      <w:r>
        <w:rPr>
          <w:rFonts w:hint="eastAsia" w:asciiTheme="minorEastAsia" w:hAnsiTheme="minorEastAsia" w:eastAsiaTheme="minorEastAsia"/>
          <w:sz w:val="24"/>
          <w:highlight w:val="none"/>
          <w:lang w:val="en-US" w:eastAsia="zh-CN"/>
        </w:rPr>
        <w:t>10</w:t>
      </w:r>
      <w:r>
        <w:rPr>
          <w:rFonts w:hint="eastAsia" w:ascii="宋体" w:hAnsi="宋体" w:eastAsia="宋体" w:cs="宋体"/>
          <w:b/>
          <w:bCs/>
          <w:color w:val="000000"/>
          <w:kern w:val="0"/>
          <w:sz w:val="24"/>
          <w:szCs w:val="24"/>
          <w:highlight w:val="none"/>
          <w:lang w:val="en-US" w:eastAsia="zh-CN" w:bidi="ar"/>
        </w:rPr>
        <w:t>.我方声明下述内容真实有效，如有</w:t>
      </w:r>
      <w:r>
        <w:rPr>
          <w:rFonts w:hint="eastAsia" w:ascii="宋体" w:hAnsi="宋体" w:eastAsia="宋体" w:cs="Times New Roman"/>
          <w:b/>
          <w:bCs/>
          <w:color w:val="auto"/>
          <w:sz w:val="24"/>
          <w:szCs w:val="22"/>
          <w:highlight w:val="none"/>
        </w:rPr>
        <w:t>虚假，将依法承担相应责任</w:t>
      </w:r>
      <w:r>
        <w:rPr>
          <w:rFonts w:hint="eastAsia" w:ascii="宋体" w:hAnsi="宋体" w:eastAsia="宋体" w:cs="Times New Roman"/>
          <w:b/>
          <w:bCs/>
          <w:color w:val="auto"/>
          <w:sz w:val="24"/>
          <w:szCs w:val="22"/>
          <w:highlight w:val="none"/>
          <w:lang w:eastAsia="zh-CN"/>
        </w:rPr>
        <w:t>：</w:t>
      </w:r>
    </w:p>
    <w:p w14:paraId="610A24E5">
      <w:pPr>
        <w:keepNext w:val="0"/>
        <w:keepLines w:val="0"/>
        <w:pageBreakBefore w:val="0"/>
        <w:widowControl/>
        <w:numPr>
          <w:ilvl w:val="0"/>
          <w:numId w:val="0"/>
        </w:numPr>
        <w:suppressLineNumbers w:val="0"/>
        <w:kinsoku/>
        <w:wordWrap/>
        <w:overflowPunct/>
        <w:topLinePunct w:val="0"/>
        <w:autoSpaceDE/>
        <w:autoSpaceDN/>
        <w:bidi w:val="0"/>
        <w:adjustRightInd/>
        <w:snapToGrid/>
        <w:spacing w:line="360" w:lineRule="auto"/>
        <w:ind w:firstLine="420" w:firstLineChars="0"/>
        <w:jc w:val="left"/>
        <w:textAlignment w:val="auto"/>
        <w:rPr>
          <w:rFonts w:hint="eastAsia" w:ascii="宋体" w:hAnsi="宋体" w:eastAsia="宋体" w:cs="宋体"/>
          <w:b/>
          <w:bCs/>
          <w:color w:val="000000"/>
          <w:kern w:val="0"/>
          <w:sz w:val="24"/>
          <w:szCs w:val="24"/>
          <w:highlight w:val="none"/>
          <w:lang w:val="en-US" w:eastAsia="zh-CN" w:bidi="ar"/>
        </w:rPr>
      </w:pPr>
      <w:r>
        <w:rPr>
          <w:rFonts w:hint="eastAsia" w:ascii="宋体" w:hAnsi="宋体" w:eastAsia="宋体" w:cs="宋体"/>
          <w:b/>
          <w:bCs/>
          <w:color w:val="000000"/>
          <w:kern w:val="0"/>
          <w:sz w:val="24"/>
          <w:szCs w:val="24"/>
          <w:highlight w:val="none"/>
          <w:lang w:val="en-US" w:eastAsia="zh-CN" w:bidi="ar"/>
        </w:rPr>
        <w:t>与我单位存在单位负责人为同一人或者存在直接控股、管理关系的其他法人单位信息如下（如有，不论其是否参加同一合同项下的采购活动均须填写）：</w:t>
      </w:r>
    </w:p>
    <w:tbl>
      <w:tblPr>
        <w:tblStyle w:val="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14:paraId="3D1E9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006F1184">
            <w:pPr>
              <w:keepNext w:val="0"/>
              <w:keepLines w:val="0"/>
              <w:pageBreakBefore w:val="0"/>
              <w:widowControl/>
              <w:suppressLineNumbers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序号</w:t>
            </w:r>
          </w:p>
        </w:tc>
        <w:tc>
          <w:tcPr>
            <w:tcW w:w="2841" w:type="dxa"/>
            <w:noWrap w:val="0"/>
            <w:vAlign w:val="top"/>
          </w:tcPr>
          <w:p w14:paraId="3A884221">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单位名称</w:t>
            </w:r>
          </w:p>
        </w:tc>
        <w:tc>
          <w:tcPr>
            <w:tcW w:w="2841" w:type="dxa"/>
            <w:noWrap w:val="0"/>
            <w:vAlign w:val="top"/>
          </w:tcPr>
          <w:p w14:paraId="4258DC91">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lang w:val="en-US" w:eastAsia="zh-CN" w:bidi="ar"/>
              </w:rPr>
              <w:t>相互关系</w:t>
            </w:r>
          </w:p>
        </w:tc>
      </w:tr>
      <w:tr w14:paraId="55D4F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658B389D">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1</w:t>
            </w:r>
          </w:p>
        </w:tc>
        <w:tc>
          <w:tcPr>
            <w:tcW w:w="2841" w:type="dxa"/>
            <w:noWrap w:val="0"/>
            <w:vAlign w:val="top"/>
          </w:tcPr>
          <w:p w14:paraId="4A6140F4">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noWrap w:val="0"/>
            <w:vAlign w:val="top"/>
          </w:tcPr>
          <w:p w14:paraId="22E7E325">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r w14:paraId="537B8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14:paraId="3D9ADF4C">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default" w:ascii="宋体" w:hAnsi="宋体" w:eastAsia="宋体" w:cs="宋体"/>
                <w:color w:val="000000"/>
                <w:kern w:val="0"/>
                <w:sz w:val="24"/>
                <w:szCs w:val="24"/>
                <w:highlight w:val="none"/>
                <w:vertAlign w:val="baseline"/>
                <w:lang w:val="en-US" w:eastAsia="zh-CN" w:bidi="ar"/>
              </w:rPr>
            </w:pPr>
            <w:r>
              <w:rPr>
                <w:rFonts w:hint="eastAsia" w:ascii="宋体" w:hAnsi="宋体" w:eastAsia="宋体" w:cs="宋体"/>
                <w:color w:val="000000"/>
                <w:kern w:val="0"/>
                <w:sz w:val="24"/>
                <w:szCs w:val="24"/>
                <w:highlight w:val="none"/>
                <w:vertAlign w:val="baseline"/>
                <w:lang w:val="en-US" w:eastAsia="zh-CN" w:bidi="ar"/>
              </w:rPr>
              <w:t>2</w:t>
            </w:r>
          </w:p>
        </w:tc>
        <w:tc>
          <w:tcPr>
            <w:tcW w:w="2841" w:type="dxa"/>
            <w:noWrap w:val="0"/>
            <w:vAlign w:val="top"/>
          </w:tcPr>
          <w:p w14:paraId="5B933F6E">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c>
          <w:tcPr>
            <w:tcW w:w="2841" w:type="dxa"/>
            <w:noWrap w:val="0"/>
            <w:vAlign w:val="top"/>
          </w:tcPr>
          <w:p w14:paraId="74B0AB37">
            <w:pPr>
              <w:pStyle w:val="7"/>
              <w:keepNext w:val="0"/>
              <w:keepLines w:val="0"/>
              <w:pageBreakBefore w:val="0"/>
              <w:kinsoku/>
              <w:wordWrap/>
              <w:overflowPunct/>
              <w:topLinePunct w:val="0"/>
              <w:autoSpaceDE/>
              <w:autoSpaceDN/>
              <w:bidi w:val="0"/>
              <w:adjustRightInd/>
              <w:snapToGrid/>
              <w:spacing w:before="0" w:beforeLines="50" w:after="10" w:line="240" w:lineRule="auto"/>
              <w:jc w:val="center"/>
              <w:textAlignment w:val="auto"/>
              <w:rPr>
                <w:rFonts w:hint="eastAsia" w:ascii="宋体" w:hAnsi="宋体" w:eastAsia="宋体" w:cs="宋体"/>
                <w:color w:val="000000"/>
                <w:kern w:val="0"/>
                <w:sz w:val="24"/>
                <w:szCs w:val="24"/>
                <w:highlight w:val="none"/>
                <w:vertAlign w:val="baseline"/>
                <w:lang w:val="en-US" w:eastAsia="zh-CN" w:bidi="ar"/>
              </w:rPr>
            </w:pPr>
          </w:p>
        </w:tc>
      </w:tr>
    </w:tbl>
    <w:p w14:paraId="344AA70F">
      <w:pPr>
        <w:spacing w:line="360" w:lineRule="auto"/>
        <w:ind w:firstLine="480" w:firstLineChars="200"/>
        <w:rPr>
          <w:rFonts w:hint="eastAsia" w:ascii="宋体" w:hAnsi="宋体" w:eastAsia="宋体"/>
          <w:sz w:val="24"/>
        </w:rPr>
      </w:pPr>
    </w:p>
    <w:p w14:paraId="067E769A">
      <w:pPr>
        <w:spacing w:line="360" w:lineRule="auto"/>
        <w:ind w:firstLine="480" w:firstLineChars="200"/>
        <w:rPr>
          <w:rFonts w:ascii="宋体" w:hAnsi="宋体" w:eastAsia="宋体"/>
          <w:sz w:val="24"/>
        </w:rPr>
      </w:pPr>
    </w:p>
    <w:p w14:paraId="10A5AB3E">
      <w:pPr>
        <w:spacing w:line="360" w:lineRule="auto"/>
        <w:ind w:firstLine="4800" w:firstLineChars="2000"/>
        <w:rPr>
          <w:rFonts w:ascii="宋体" w:hAnsi="宋体" w:eastAsia="宋体"/>
          <w:sz w:val="24"/>
        </w:rPr>
      </w:pPr>
      <w:r>
        <w:rPr>
          <w:rFonts w:hint="eastAsia" w:ascii="宋体" w:hAnsi="宋体" w:eastAsia="宋体"/>
          <w:sz w:val="24"/>
        </w:rPr>
        <w:t>供应商电子签章：</w:t>
      </w:r>
      <w:r>
        <w:rPr>
          <w:rFonts w:hint="eastAsia" w:ascii="宋体" w:hAnsi="宋体" w:eastAsia="宋体"/>
          <w:sz w:val="24"/>
          <w:u w:val="single"/>
        </w:rPr>
        <w:t xml:space="preserve">             </w:t>
      </w:r>
    </w:p>
    <w:p w14:paraId="6E2A285A">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0B2393D">
      <w:pPr>
        <w:widowControl/>
        <w:jc w:val="left"/>
        <w:rPr>
          <w:rFonts w:ascii="宋体" w:hAnsi="宋体" w:eastAsia="宋体"/>
          <w:sz w:val="24"/>
        </w:rPr>
      </w:pPr>
      <w:r>
        <w:rPr>
          <w:rFonts w:ascii="宋体" w:hAnsi="宋体" w:eastAsia="宋体"/>
          <w:sz w:val="24"/>
        </w:rPr>
        <w:br w:type="page"/>
      </w:r>
    </w:p>
    <w:p w14:paraId="2852D5FD">
      <w:pPr>
        <w:spacing w:line="360" w:lineRule="auto"/>
        <w:jc w:val="center"/>
        <w:outlineLvl w:val="1"/>
        <w:rPr>
          <w:rFonts w:asciiTheme="minorEastAsia" w:hAnsiTheme="minorEastAsia" w:eastAsiaTheme="minorEastAsia"/>
          <w:b/>
          <w:sz w:val="24"/>
        </w:rPr>
      </w:pPr>
      <w:bookmarkStart w:id="181" w:name="_Toc9327"/>
      <w:r>
        <w:rPr>
          <w:rFonts w:hint="eastAsia" w:asciiTheme="minorEastAsia" w:hAnsiTheme="minorEastAsia" w:eastAsiaTheme="minorEastAsia"/>
          <w:b/>
          <w:sz w:val="24"/>
        </w:rPr>
        <w:t>四、无重大违法、不良信用记录声明函</w:t>
      </w:r>
      <w:bookmarkEnd w:id="181"/>
    </w:p>
    <w:p w14:paraId="5ACACF87">
      <w:pPr>
        <w:spacing w:line="440" w:lineRule="exact"/>
        <w:ind w:firstLine="435"/>
        <w:rPr>
          <w:rFonts w:ascii="宋体" w:hAnsi="宋体" w:eastAsia="宋体"/>
          <w:sz w:val="24"/>
          <w:szCs w:val="24"/>
        </w:rPr>
      </w:pPr>
      <w:r>
        <w:rPr>
          <w:rFonts w:hint="eastAsia" w:ascii="宋体" w:hAnsi="宋体" w:eastAsia="宋体"/>
          <w:sz w:val="24"/>
          <w:szCs w:val="24"/>
        </w:rPr>
        <w:t>1.本单位郑重声明，根据</w:t>
      </w:r>
      <w:r>
        <w:rPr>
          <w:rFonts w:hint="eastAsia" w:ascii="宋体" w:hAnsi="宋体" w:eastAsia="宋体"/>
          <w:sz w:val="24"/>
          <w:szCs w:val="24"/>
          <w:lang w:val="en-US" w:eastAsia="zh-CN"/>
        </w:rPr>
        <w:t>磋商文件的约</w:t>
      </w:r>
      <w:r>
        <w:rPr>
          <w:rFonts w:hint="eastAsia" w:ascii="宋体" w:hAnsi="宋体" w:eastAsia="宋体"/>
          <w:sz w:val="24"/>
          <w:szCs w:val="24"/>
        </w:rPr>
        <w:t>定，参加</w:t>
      </w:r>
      <w:r>
        <w:rPr>
          <w:rFonts w:hint="eastAsia" w:ascii="宋体" w:hAnsi="宋体" w:eastAsia="宋体"/>
          <w:sz w:val="24"/>
          <w:szCs w:val="24"/>
          <w:lang w:val="en-US" w:eastAsia="zh-CN"/>
        </w:rPr>
        <w:t>本次</w:t>
      </w:r>
      <w:r>
        <w:rPr>
          <w:rFonts w:hint="eastAsia" w:ascii="宋体" w:hAnsi="宋体" w:eastAsia="宋体"/>
          <w:sz w:val="24"/>
          <w:szCs w:val="24"/>
        </w:rPr>
        <w:t>采购活动前三年内，本单位在经营活动中没有重大违法记录，没有因违法经营受到刑事处罚或者责令停产停业、吊销许可证或者执照、较大数额罚款等行政处罚，且未在被禁止参加政府采购活动的处罚期限内。</w:t>
      </w:r>
    </w:p>
    <w:p w14:paraId="21C62B68">
      <w:pPr>
        <w:spacing w:line="440" w:lineRule="exact"/>
        <w:ind w:firstLine="435"/>
        <w:rPr>
          <w:rFonts w:asciiTheme="minorEastAsia" w:hAnsiTheme="minorEastAsia" w:eastAsiaTheme="minorEastAsia"/>
          <w:sz w:val="24"/>
          <w:szCs w:val="24"/>
        </w:rPr>
      </w:pPr>
      <w:r>
        <w:rPr>
          <w:rFonts w:hint="eastAsia" w:ascii="宋体" w:hAnsi="宋体" w:eastAsia="宋体"/>
          <w:sz w:val="24"/>
          <w:szCs w:val="24"/>
        </w:rPr>
        <w:t>2</w:t>
      </w:r>
      <w:r>
        <w:rPr>
          <w:rFonts w:hint="eastAsia" w:asciiTheme="minorEastAsia" w:hAnsiTheme="minorEastAsia" w:eastAsiaTheme="minorEastAsia"/>
          <w:sz w:val="24"/>
          <w:szCs w:val="24"/>
        </w:rPr>
        <w:t>.本单位郑重声明，我单位无以下不良信用记录情形：</w:t>
      </w:r>
    </w:p>
    <w:p w14:paraId="766EBFE5">
      <w:pPr>
        <w:spacing w:line="440" w:lineRule="exact"/>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（1）被人民法院列入失信被执行人；</w:t>
      </w:r>
    </w:p>
    <w:p w14:paraId="6AA628DB">
      <w:pPr>
        <w:spacing w:line="440" w:lineRule="exact"/>
        <w:ind w:firstLine="435"/>
        <w:rPr>
          <w:rFonts w:asciiTheme="minorEastAsia" w:hAnsiTheme="minorEastAsia" w:eastAsiaTheme="minorEastAsia"/>
          <w:sz w:val="24"/>
          <w:szCs w:val="24"/>
        </w:rPr>
      </w:pPr>
      <w:r>
        <w:rPr>
          <w:rFonts w:hint="eastAsia" w:asciiTheme="minorEastAsia" w:hAnsiTheme="minorEastAsia" w:eastAsiaTheme="minorEastAsia"/>
          <w:sz w:val="24"/>
          <w:szCs w:val="24"/>
        </w:rPr>
        <w:t>（2）被税务部门列入重大税收违法案件当事人名单；</w:t>
      </w:r>
    </w:p>
    <w:p w14:paraId="344418AE">
      <w:pPr>
        <w:spacing w:line="440" w:lineRule="exact"/>
        <w:ind w:firstLine="435"/>
        <w:rPr>
          <w:rFonts w:ascii="宋体" w:hAnsi="宋体" w:eastAsia="宋体"/>
          <w:sz w:val="24"/>
          <w:szCs w:val="24"/>
        </w:rPr>
      </w:pPr>
      <w:r>
        <w:rPr>
          <w:rFonts w:hint="eastAsia" w:asciiTheme="minorEastAsia" w:hAnsiTheme="minorEastAsia" w:eastAsiaTheme="minorEastAsia"/>
          <w:sz w:val="24"/>
          <w:szCs w:val="24"/>
        </w:rPr>
        <w:t>（</w:t>
      </w:r>
      <w:r>
        <w:rPr>
          <w:rFonts w:hint="eastAsia" w:asciiTheme="minorEastAsia" w:hAnsiTheme="minorEastAsia" w:eastAsiaTheme="minorEastAsia"/>
          <w:sz w:val="24"/>
          <w:szCs w:val="24"/>
          <w:lang w:val="en-US" w:eastAsia="zh-CN"/>
        </w:rPr>
        <w:t>3</w:t>
      </w:r>
      <w:r>
        <w:rPr>
          <w:rFonts w:hint="eastAsia" w:asciiTheme="minorEastAsia" w:hAnsiTheme="minorEastAsia" w:eastAsiaTheme="minorEastAsia"/>
          <w:sz w:val="24"/>
          <w:szCs w:val="24"/>
        </w:rPr>
        <w:t>）被政府采购监管部门列入政府采购严重违法失信行为记录</w:t>
      </w:r>
      <w:r>
        <w:rPr>
          <w:rFonts w:hint="eastAsia" w:ascii="宋体" w:hAnsi="宋体" w:eastAsia="宋体"/>
          <w:sz w:val="24"/>
          <w:szCs w:val="24"/>
        </w:rPr>
        <w:t>名单。</w:t>
      </w:r>
    </w:p>
    <w:p w14:paraId="55CEDDEA">
      <w:pPr>
        <w:spacing w:line="440" w:lineRule="exact"/>
        <w:ind w:firstLine="435"/>
        <w:rPr>
          <w:rFonts w:ascii="宋体" w:hAnsi="宋体" w:eastAsia="宋体"/>
          <w:sz w:val="24"/>
          <w:szCs w:val="24"/>
        </w:rPr>
      </w:pPr>
    </w:p>
    <w:p w14:paraId="40CF45A8">
      <w:pPr>
        <w:spacing w:line="440" w:lineRule="exact"/>
        <w:ind w:firstLine="435"/>
        <w:rPr>
          <w:rFonts w:ascii="宋体" w:hAnsi="宋体" w:eastAsia="宋体"/>
          <w:sz w:val="24"/>
          <w:szCs w:val="24"/>
        </w:rPr>
      </w:pPr>
      <w:r>
        <w:rPr>
          <w:rFonts w:hint="eastAsia" w:ascii="宋体" w:hAnsi="宋体" w:eastAsia="宋体"/>
          <w:sz w:val="24"/>
          <w:szCs w:val="24"/>
        </w:rPr>
        <w:t>本单位对</w:t>
      </w:r>
      <w:r>
        <w:rPr>
          <w:rFonts w:hint="eastAsia" w:asciiTheme="minorEastAsia" w:hAnsiTheme="minorEastAsia" w:eastAsiaTheme="minorEastAsia"/>
          <w:sz w:val="24"/>
          <w:szCs w:val="24"/>
        </w:rPr>
        <w:t>上述</w:t>
      </w:r>
      <w:r>
        <w:rPr>
          <w:rFonts w:hint="eastAsia" w:ascii="宋体" w:hAnsi="宋体" w:eastAsia="宋体"/>
          <w:sz w:val="24"/>
          <w:szCs w:val="24"/>
        </w:rPr>
        <w:t>声明的真实性负责。如有虚假，将依法承担相应责任。</w:t>
      </w:r>
    </w:p>
    <w:p w14:paraId="0DD7A7E9">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供应商电子签章：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573F37A0">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 xml:space="preserve"> 期：</w:t>
      </w:r>
      <w:r>
        <w:rPr>
          <w:rFonts w:hint="eastAsia" w:ascii="宋体" w:hAnsi="宋体" w:eastAsia="宋体"/>
          <w:sz w:val="24"/>
          <w:szCs w:val="24"/>
          <w:u w:val="single"/>
        </w:rPr>
        <w:t xml:space="preserve">             </w:t>
      </w:r>
    </w:p>
    <w:p w14:paraId="776CFB7A">
      <w:pPr>
        <w:widowControl/>
        <w:jc w:val="left"/>
        <w:rPr>
          <w:rFonts w:ascii="宋体" w:hAnsi="宋体" w:eastAsia="宋体"/>
          <w:sz w:val="24"/>
        </w:rPr>
      </w:pPr>
      <w:r>
        <w:rPr>
          <w:rFonts w:ascii="宋体" w:hAnsi="宋体" w:eastAsia="宋体"/>
          <w:sz w:val="24"/>
        </w:rPr>
        <w:br w:type="page"/>
      </w:r>
    </w:p>
    <w:p w14:paraId="0D194355">
      <w:pPr>
        <w:spacing w:line="360" w:lineRule="auto"/>
        <w:jc w:val="center"/>
        <w:outlineLvl w:val="1"/>
        <w:rPr>
          <w:rFonts w:asciiTheme="minorEastAsia" w:hAnsiTheme="minorEastAsia" w:eastAsiaTheme="minorEastAsia"/>
          <w:b/>
          <w:sz w:val="24"/>
        </w:rPr>
      </w:pPr>
      <w:bookmarkStart w:id="182" w:name="_Toc516969106"/>
      <w:bookmarkStart w:id="183" w:name="_Toc520983594"/>
      <w:bookmarkStart w:id="184" w:name="_Toc121626298"/>
      <w:bookmarkStart w:id="185" w:name="_Toc204594911"/>
      <w:bookmarkStart w:id="186" w:name="_Toc29605"/>
      <w:r>
        <w:rPr>
          <w:rFonts w:hint="eastAsia" w:asciiTheme="minorEastAsia" w:hAnsiTheme="minorEastAsia" w:eastAsiaTheme="minorEastAsia"/>
          <w:b/>
          <w:sz w:val="24"/>
        </w:rPr>
        <w:t>五、授权书</w:t>
      </w:r>
      <w:bookmarkEnd w:id="182"/>
      <w:bookmarkEnd w:id="183"/>
      <w:bookmarkEnd w:id="184"/>
      <w:bookmarkEnd w:id="185"/>
      <w:bookmarkEnd w:id="186"/>
    </w:p>
    <w:p w14:paraId="00D2E9B1">
      <w:pPr>
        <w:spacing w:line="360" w:lineRule="auto"/>
        <w:jc w:val="center"/>
        <w:rPr>
          <w:rFonts w:asciiTheme="minorEastAsia" w:hAnsiTheme="minorEastAsia" w:eastAsiaTheme="minorEastAsia"/>
          <w:b/>
          <w:sz w:val="24"/>
        </w:rPr>
      </w:pPr>
    </w:p>
    <w:p w14:paraId="3454E54B">
      <w:pPr>
        <w:pStyle w:val="10"/>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磋商过程的一切事宜，包括但不限于：提交响应文件、参与磋商、签约等。供应商授权代表在采购活动过程中所签署的一切文件和处理与之有关的一切事务，本公司均予以认可并对此承担责任。供应商授权代表无转委托权。特此授权。</w:t>
      </w:r>
    </w:p>
    <w:p w14:paraId="79EB6429">
      <w:pPr>
        <w:pStyle w:val="10"/>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7D6525F2">
      <w:pPr>
        <w:pStyle w:val="10"/>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身份证明扫描件：</w:t>
      </w:r>
    </w:p>
    <w:p w14:paraId="3BE2A9A6">
      <w:pPr>
        <w:pStyle w:val="10"/>
        <w:snapToGrid w:val="0"/>
        <w:spacing w:line="360" w:lineRule="auto"/>
        <w:ind w:firstLine="480" w:firstLineChars="200"/>
        <w:jc w:val="left"/>
        <w:rPr>
          <w:rFonts w:hAnsi="宋体" w:eastAsia="宋体"/>
          <w:sz w:val="24"/>
        </w:rPr>
      </w:pPr>
    </w:p>
    <w:p w14:paraId="09F45632">
      <w:pPr>
        <w:pStyle w:val="10"/>
        <w:snapToGrid w:val="0"/>
        <w:spacing w:line="360" w:lineRule="auto"/>
        <w:ind w:firstLine="480" w:firstLineChars="200"/>
        <w:jc w:val="left"/>
        <w:rPr>
          <w:rFonts w:hAnsi="宋体" w:eastAsia="宋体"/>
          <w:sz w:val="24"/>
        </w:rPr>
      </w:pPr>
    </w:p>
    <w:p w14:paraId="30CEB85A">
      <w:pPr>
        <w:pStyle w:val="10"/>
        <w:snapToGrid w:val="0"/>
        <w:spacing w:line="360" w:lineRule="auto"/>
        <w:ind w:firstLine="480" w:firstLineChars="200"/>
        <w:jc w:val="left"/>
        <w:rPr>
          <w:rFonts w:hAnsi="宋体" w:eastAsia="宋体"/>
          <w:sz w:val="24"/>
        </w:rPr>
      </w:pPr>
    </w:p>
    <w:p w14:paraId="0808ECE3">
      <w:pPr>
        <w:pStyle w:val="10"/>
        <w:snapToGrid w:val="0"/>
        <w:spacing w:line="360" w:lineRule="auto"/>
        <w:ind w:firstLine="480" w:firstLineChars="200"/>
        <w:jc w:val="left"/>
        <w:rPr>
          <w:rFonts w:hAnsi="宋体" w:eastAsia="宋体"/>
          <w:sz w:val="24"/>
        </w:rPr>
      </w:pPr>
    </w:p>
    <w:p w14:paraId="75B8ECEE">
      <w:pPr>
        <w:pStyle w:val="10"/>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3B9DDC1D">
      <w:pPr>
        <w:pStyle w:val="10"/>
        <w:snapToGrid w:val="0"/>
        <w:spacing w:line="360" w:lineRule="auto"/>
        <w:ind w:firstLine="480" w:firstLineChars="200"/>
        <w:jc w:val="left"/>
        <w:rPr>
          <w:rFonts w:hAnsi="宋体" w:eastAsia="宋体"/>
          <w:sz w:val="24"/>
          <w:szCs w:val="28"/>
        </w:rPr>
      </w:pPr>
    </w:p>
    <w:p w14:paraId="5F98243E">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2316D66E">
      <w:pPr>
        <w:spacing w:line="360" w:lineRule="auto"/>
        <w:rPr>
          <w:rFonts w:ascii="宋体" w:hAnsi="宋体" w:eastAsia="宋体"/>
          <w:sz w:val="24"/>
          <w:szCs w:val="28"/>
        </w:rPr>
      </w:pPr>
    </w:p>
    <w:p w14:paraId="2EF3CDF5">
      <w:pPr>
        <w:spacing w:line="360" w:lineRule="auto"/>
        <w:rPr>
          <w:rFonts w:ascii="宋体" w:hAnsi="宋体" w:eastAsia="宋体"/>
          <w:bCs/>
          <w:sz w:val="24"/>
          <w:szCs w:val="28"/>
        </w:rPr>
      </w:pPr>
      <w:r>
        <w:rPr>
          <w:rFonts w:hint="eastAsia" w:ascii="宋体" w:hAnsi="宋体" w:eastAsia="宋体"/>
          <w:bCs/>
          <w:sz w:val="24"/>
          <w:szCs w:val="28"/>
        </w:rPr>
        <w:t>供应商电子签章：</w:t>
      </w:r>
      <w:r>
        <w:rPr>
          <w:rFonts w:hint="eastAsia" w:ascii="宋体" w:hAnsi="宋体" w:eastAsia="宋体"/>
          <w:bCs/>
          <w:sz w:val="24"/>
          <w:szCs w:val="28"/>
          <w:u w:val="single"/>
        </w:rPr>
        <w:t xml:space="preserve">                    </w:t>
      </w:r>
    </w:p>
    <w:p w14:paraId="07BFE61C">
      <w:pPr>
        <w:spacing w:line="360" w:lineRule="auto"/>
        <w:rPr>
          <w:rFonts w:ascii="宋体" w:hAnsi="宋体" w:eastAsia="宋体"/>
          <w:sz w:val="24"/>
          <w:szCs w:val="28"/>
        </w:rPr>
      </w:pPr>
      <w:r>
        <w:rPr>
          <w:rFonts w:hint="eastAsia" w:ascii="宋体" w:hAnsi="宋体" w:eastAsia="宋体"/>
          <w:sz w:val="24"/>
          <w:szCs w:val="28"/>
        </w:rPr>
        <w:t>日          期：</w:t>
      </w:r>
      <w:r>
        <w:rPr>
          <w:rFonts w:hint="eastAsia" w:ascii="宋体" w:hAnsi="宋体" w:eastAsia="宋体"/>
          <w:sz w:val="24"/>
          <w:szCs w:val="28"/>
          <w:u w:val="single"/>
        </w:rPr>
        <w:t xml:space="preserve">                    </w:t>
      </w:r>
    </w:p>
    <w:p w14:paraId="74E2DB7C">
      <w:pPr>
        <w:spacing w:line="360" w:lineRule="auto"/>
        <w:rPr>
          <w:rFonts w:ascii="宋体" w:hAnsi="宋体" w:eastAsia="宋体"/>
          <w:sz w:val="24"/>
          <w:szCs w:val="28"/>
        </w:rPr>
      </w:pPr>
    </w:p>
    <w:p w14:paraId="33A0EB9B">
      <w:pPr>
        <w:spacing w:line="360" w:lineRule="auto"/>
        <w:rPr>
          <w:rFonts w:ascii="宋体" w:hAnsi="宋体" w:eastAsia="宋体"/>
          <w:sz w:val="24"/>
          <w:szCs w:val="28"/>
        </w:rPr>
      </w:pPr>
    </w:p>
    <w:p w14:paraId="5DA39747">
      <w:pPr>
        <w:pStyle w:val="10"/>
        <w:snapToGrid w:val="0"/>
        <w:spacing w:line="360" w:lineRule="auto"/>
        <w:jc w:val="left"/>
        <w:rPr>
          <w:rFonts w:hAnsi="宋体" w:eastAsia="宋体"/>
          <w:sz w:val="24"/>
          <w:szCs w:val="28"/>
        </w:rPr>
      </w:pPr>
      <w:r>
        <w:rPr>
          <w:rFonts w:hint="eastAsia" w:hAnsi="宋体" w:eastAsia="宋体"/>
          <w:sz w:val="24"/>
          <w:szCs w:val="28"/>
        </w:rPr>
        <w:t>注：</w:t>
      </w:r>
    </w:p>
    <w:p w14:paraId="6FCF7BCA">
      <w:pPr>
        <w:pStyle w:val="10"/>
        <w:snapToGrid w:val="0"/>
        <w:spacing w:line="360" w:lineRule="auto"/>
        <w:jc w:val="left"/>
        <w:rPr>
          <w:rFonts w:hAnsi="宋体" w:eastAsia="宋体"/>
          <w:sz w:val="24"/>
          <w:szCs w:val="28"/>
        </w:rPr>
      </w:pPr>
      <w:r>
        <w:rPr>
          <w:rFonts w:hint="eastAsia" w:hAnsi="宋体" w:eastAsia="宋体"/>
          <w:sz w:val="24"/>
          <w:szCs w:val="28"/>
        </w:rPr>
        <w:t>1.本项目只允许有唯一的供应商授权代表，提供身份证明扫描件；</w:t>
      </w:r>
    </w:p>
    <w:p w14:paraId="3360D402">
      <w:pPr>
        <w:spacing w:line="360" w:lineRule="auto"/>
        <w:jc w:val="left"/>
        <w:rPr>
          <w:rFonts w:ascii="宋体" w:hAnsi="宋体" w:eastAsia="宋体"/>
          <w:sz w:val="24"/>
        </w:rPr>
      </w:pPr>
      <w:r>
        <w:rPr>
          <w:rFonts w:hint="eastAsia" w:ascii="宋体" w:hAnsi="宋体" w:eastAsia="宋体"/>
          <w:sz w:val="24"/>
        </w:rPr>
        <w:t>2.法定代表人参加磋商的无需提供授权书，仅提供身份证明扫描件。</w:t>
      </w:r>
    </w:p>
    <w:p w14:paraId="41F5EC18">
      <w:pPr>
        <w:widowControl/>
        <w:jc w:val="left"/>
        <w:rPr>
          <w:rFonts w:ascii="宋体" w:hAnsi="宋体" w:eastAsia="宋体"/>
          <w:sz w:val="24"/>
        </w:rPr>
      </w:pPr>
      <w:r>
        <w:rPr>
          <w:rFonts w:ascii="宋体" w:hAnsi="宋体" w:eastAsia="宋体"/>
          <w:sz w:val="24"/>
        </w:rPr>
        <w:br w:type="page"/>
      </w:r>
    </w:p>
    <w:p w14:paraId="734B9DEA">
      <w:pPr>
        <w:spacing w:line="360" w:lineRule="auto"/>
        <w:jc w:val="center"/>
        <w:outlineLvl w:val="1"/>
        <w:rPr>
          <w:rFonts w:asciiTheme="minorEastAsia" w:hAnsiTheme="minorEastAsia" w:eastAsiaTheme="minorEastAsia"/>
          <w:b/>
          <w:sz w:val="24"/>
        </w:rPr>
      </w:pPr>
      <w:bookmarkStart w:id="187" w:name="_Toc13124"/>
      <w:r>
        <w:rPr>
          <w:rFonts w:hint="eastAsia" w:asciiTheme="minorEastAsia" w:hAnsiTheme="minorEastAsia" w:eastAsiaTheme="minorEastAsia"/>
          <w:b/>
          <w:sz w:val="24"/>
        </w:rPr>
        <w:t>六、商务响应表</w:t>
      </w:r>
      <w:bookmarkEnd w:id="187"/>
    </w:p>
    <w:p w14:paraId="47F77222">
      <w:pPr>
        <w:spacing w:line="360" w:lineRule="auto"/>
        <w:ind w:firstLine="435"/>
        <w:rPr>
          <w:rFonts w:asciiTheme="minorEastAsia" w:hAnsiTheme="minorEastAsia" w:eastAsiaTheme="minorEastAsia"/>
          <w:b/>
          <w:sz w:val="24"/>
        </w:rPr>
      </w:pP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916"/>
        <w:gridCol w:w="2497"/>
        <w:gridCol w:w="2575"/>
        <w:gridCol w:w="810"/>
      </w:tblGrid>
      <w:tr w14:paraId="505C1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724" w:type="dxa"/>
            <w:vAlign w:val="center"/>
          </w:tcPr>
          <w:p w14:paraId="2CA379E0">
            <w:pPr>
              <w:pStyle w:val="10"/>
              <w:jc w:val="center"/>
              <w:rPr>
                <w:rFonts w:cs="Wingdings" w:asciiTheme="minorEastAsia" w:hAnsiTheme="minorEastAsia"/>
                <w:b/>
                <w:sz w:val="24"/>
              </w:rPr>
            </w:pPr>
            <w:r>
              <w:rPr>
                <w:rFonts w:hint="eastAsia" w:cs="Wingdings" w:asciiTheme="minorEastAsia" w:hAnsiTheme="minorEastAsia"/>
                <w:b/>
                <w:sz w:val="24"/>
              </w:rPr>
              <w:t>序号</w:t>
            </w:r>
          </w:p>
        </w:tc>
        <w:tc>
          <w:tcPr>
            <w:tcW w:w="1916" w:type="dxa"/>
            <w:vAlign w:val="center"/>
          </w:tcPr>
          <w:p w14:paraId="02187548">
            <w:pPr>
              <w:pStyle w:val="10"/>
              <w:jc w:val="center"/>
              <w:rPr>
                <w:rFonts w:cs="Wingdings" w:asciiTheme="minorEastAsia" w:hAnsiTheme="minorEastAsia"/>
                <w:b/>
                <w:sz w:val="24"/>
              </w:rPr>
            </w:pPr>
            <w:r>
              <w:rPr>
                <w:rFonts w:hint="eastAsia" w:asciiTheme="minorEastAsia" w:hAnsiTheme="minorEastAsia"/>
                <w:b/>
                <w:bCs/>
                <w:sz w:val="24"/>
                <w:szCs w:val="24"/>
              </w:rPr>
              <w:t>商务条款</w:t>
            </w:r>
          </w:p>
        </w:tc>
        <w:tc>
          <w:tcPr>
            <w:tcW w:w="2497" w:type="dxa"/>
            <w:vAlign w:val="center"/>
          </w:tcPr>
          <w:p w14:paraId="322D745E">
            <w:pPr>
              <w:pStyle w:val="10"/>
              <w:jc w:val="center"/>
              <w:rPr>
                <w:rFonts w:cs="Wingdings" w:asciiTheme="minorEastAsia" w:hAnsiTheme="minorEastAsia"/>
                <w:b/>
                <w:sz w:val="24"/>
              </w:rPr>
            </w:pPr>
            <w:r>
              <w:rPr>
                <w:rFonts w:hint="eastAsia" w:cs="Wingdings" w:asciiTheme="minorEastAsia" w:hAnsiTheme="minorEastAsia"/>
                <w:b/>
                <w:sz w:val="24"/>
              </w:rPr>
              <w:t>磋商文件要求</w:t>
            </w:r>
          </w:p>
        </w:tc>
        <w:tc>
          <w:tcPr>
            <w:tcW w:w="2575" w:type="dxa"/>
            <w:vAlign w:val="center"/>
          </w:tcPr>
          <w:p w14:paraId="4B5C2DF1">
            <w:pPr>
              <w:pStyle w:val="10"/>
              <w:jc w:val="center"/>
              <w:rPr>
                <w:rFonts w:cs="Wingdings" w:asciiTheme="minorEastAsia" w:hAnsiTheme="minorEastAsia"/>
                <w:b/>
                <w:sz w:val="24"/>
              </w:rPr>
            </w:pPr>
            <w:r>
              <w:rPr>
                <w:rFonts w:hint="eastAsia" w:cs="Wingdings" w:asciiTheme="minorEastAsia" w:hAnsiTheme="minorEastAsia"/>
                <w:b/>
                <w:sz w:val="24"/>
              </w:rPr>
              <w:t>供应商承诺</w:t>
            </w:r>
          </w:p>
        </w:tc>
        <w:tc>
          <w:tcPr>
            <w:tcW w:w="810" w:type="dxa"/>
            <w:vAlign w:val="center"/>
          </w:tcPr>
          <w:p w14:paraId="01927345">
            <w:pPr>
              <w:pStyle w:val="10"/>
              <w:jc w:val="center"/>
              <w:rPr>
                <w:rFonts w:cs="Wingdings" w:asciiTheme="minorEastAsia" w:hAnsiTheme="minorEastAsia"/>
                <w:b/>
                <w:sz w:val="24"/>
              </w:rPr>
            </w:pPr>
            <w:r>
              <w:rPr>
                <w:rFonts w:hint="eastAsia" w:cs="Wingdings" w:asciiTheme="minorEastAsia" w:hAnsiTheme="minorEastAsia"/>
                <w:b/>
                <w:sz w:val="24"/>
              </w:rPr>
              <w:t>偏离说明</w:t>
            </w:r>
          </w:p>
        </w:tc>
      </w:tr>
      <w:tr w14:paraId="4517B8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45AB2252">
            <w:pPr>
              <w:jc w:val="center"/>
              <w:rPr>
                <w:rFonts w:asciiTheme="minorEastAsia" w:hAnsiTheme="minorEastAsia" w:eastAsiaTheme="minorEastAsia"/>
                <w:sz w:val="24"/>
              </w:rPr>
            </w:pPr>
            <w:r>
              <w:rPr>
                <w:rFonts w:asciiTheme="minorEastAsia" w:hAnsiTheme="minorEastAsia" w:eastAsiaTheme="minorEastAsia"/>
                <w:sz w:val="24"/>
              </w:rPr>
              <w:t>1</w:t>
            </w:r>
          </w:p>
        </w:tc>
        <w:tc>
          <w:tcPr>
            <w:tcW w:w="1916" w:type="dxa"/>
            <w:vAlign w:val="center"/>
          </w:tcPr>
          <w:p w14:paraId="3E31615F">
            <w:pPr>
              <w:jc w:val="center"/>
              <w:rPr>
                <w:rFonts w:ascii="宋体" w:hAnsi="宋体" w:eastAsia="宋体"/>
                <w:sz w:val="24"/>
              </w:rPr>
            </w:pPr>
            <w:r>
              <w:rPr>
                <w:rFonts w:asciiTheme="minorEastAsia" w:hAnsiTheme="minorEastAsia" w:eastAsiaTheme="minorEastAsia"/>
                <w:sz w:val="24"/>
              </w:rPr>
              <w:t>付款方式</w:t>
            </w:r>
          </w:p>
        </w:tc>
        <w:tc>
          <w:tcPr>
            <w:tcW w:w="2497" w:type="dxa"/>
            <w:vAlign w:val="center"/>
          </w:tcPr>
          <w:p w14:paraId="58064D57">
            <w:pPr>
              <w:jc w:val="center"/>
              <w:rPr>
                <w:rFonts w:asciiTheme="minorEastAsia" w:hAnsiTheme="minorEastAsia" w:eastAsiaTheme="minorEastAsia"/>
                <w:sz w:val="24"/>
              </w:rPr>
            </w:pPr>
          </w:p>
        </w:tc>
        <w:tc>
          <w:tcPr>
            <w:tcW w:w="2575" w:type="dxa"/>
            <w:vAlign w:val="center"/>
          </w:tcPr>
          <w:p w14:paraId="28DAD025">
            <w:pPr>
              <w:jc w:val="center"/>
              <w:rPr>
                <w:rFonts w:asciiTheme="minorEastAsia" w:hAnsiTheme="minorEastAsia" w:eastAsiaTheme="minorEastAsia"/>
                <w:sz w:val="24"/>
              </w:rPr>
            </w:pPr>
          </w:p>
        </w:tc>
        <w:tc>
          <w:tcPr>
            <w:tcW w:w="810" w:type="dxa"/>
            <w:vAlign w:val="center"/>
          </w:tcPr>
          <w:p w14:paraId="6E9186F8">
            <w:pPr>
              <w:jc w:val="center"/>
              <w:rPr>
                <w:rFonts w:asciiTheme="minorEastAsia" w:hAnsiTheme="minorEastAsia" w:eastAsiaTheme="minorEastAsia"/>
                <w:sz w:val="24"/>
              </w:rPr>
            </w:pPr>
          </w:p>
        </w:tc>
      </w:tr>
      <w:tr w14:paraId="23DD1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704D1BCF">
            <w:pPr>
              <w:jc w:val="center"/>
              <w:rPr>
                <w:rFonts w:asciiTheme="minorEastAsia" w:hAnsiTheme="minorEastAsia" w:eastAsiaTheme="minorEastAsia"/>
                <w:sz w:val="24"/>
              </w:rPr>
            </w:pPr>
            <w:r>
              <w:rPr>
                <w:rFonts w:hint="eastAsia" w:asciiTheme="minorEastAsia" w:hAnsiTheme="minorEastAsia" w:eastAsiaTheme="minorEastAsia"/>
                <w:sz w:val="24"/>
              </w:rPr>
              <w:t>2</w:t>
            </w:r>
          </w:p>
        </w:tc>
        <w:tc>
          <w:tcPr>
            <w:tcW w:w="1916" w:type="dxa"/>
            <w:vAlign w:val="center"/>
          </w:tcPr>
          <w:p w14:paraId="44731E6D">
            <w:pPr>
              <w:jc w:val="center"/>
              <w:rPr>
                <w:rFonts w:ascii="宋体" w:hAnsi="宋体" w:eastAsia="宋体"/>
                <w:sz w:val="24"/>
              </w:rPr>
            </w:pPr>
            <w:r>
              <w:rPr>
                <w:rFonts w:hint="eastAsia" w:ascii="宋体" w:hAnsi="宋体" w:eastAsia="宋体"/>
                <w:sz w:val="24"/>
              </w:rPr>
              <w:t>服务地点</w:t>
            </w:r>
          </w:p>
        </w:tc>
        <w:tc>
          <w:tcPr>
            <w:tcW w:w="2497" w:type="dxa"/>
            <w:vAlign w:val="center"/>
          </w:tcPr>
          <w:p w14:paraId="35FC3488">
            <w:pPr>
              <w:jc w:val="center"/>
              <w:rPr>
                <w:rFonts w:asciiTheme="minorEastAsia" w:hAnsiTheme="minorEastAsia" w:eastAsiaTheme="minorEastAsia"/>
                <w:sz w:val="24"/>
              </w:rPr>
            </w:pPr>
          </w:p>
        </w:tc>
        <w:tc>
          <w:tcPr>
            <w:tcW w:w="2575" w:type="dxa"/>
            <w:vAlign w:val="center"/>
          </w:tcPr>
          <w:p w14:paraId="2A5BD324">
            <w:pPr>
              <w:jc w:val="center"/>
              <w:rPr>
                <w:rFonts w:asciiTheme="minorEastAsia" w:hAnsiTheme="minorEastAsia" w:eastAsiaTheme="minorEastAsia"/>
                <w:sz w:val="24"/>
              </w:rPr>
            </w:pPr>
          </w:p>
        </w:tc>
        <w:tc>
          <w:tcPr>
            <w:tcW w:w="810" w:type="dxa"/>
            <w:vAlign w:val="center"/>
          </w:tcPr>
          <w:p w14:paraId="13C55CF9">
            <w:pPr>
              <w:jc w:val="center"/>
              <w:rPr>
                <w:rFonts w:asciiTheme="minorEastAsia" w:hAnsiTheme="minorEastAsia" w:eastAsiaTheme="minorEastAsia"/>
                <w:sz w:val="24"/>
              </w:rPr>
            </w:pPr>
          </w:p>
        </w:tc>
      </w:tr>
      <w:tr w14:paraId="7CBFB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24" w:type="dxa"/>
            <w:vAlign w:val="center"/>
          </w:tcPr>
          <w:p w14:paraId="228BAD73">
            <w:pPr>
              <w:jc w:val="center"/>
              <w:rPr>
                <w:rFonts w:asciiTheme="minorEastAsia" w:hAnsiTheme="minorEastAsia" w:eastAsiaTheme="minorEastAsia"/>
                <w:sz w:val="24"/>
              </w:rPr>
            </w:pPr>
            <w:r>
              <w:rPr>
                <w:rFonts w:hint="eastAsia" w:asciiTheme="minorEastAsia" w:hAnsiTheme="minorEastAsia" w:eastAsiaTheme="minorEastAsia"/>
                <w:sz w:val="24"/>
              </w:rPr>
              <w:t>3</w:t>
            </w:r>
          </w:p>
        </w:tc>
        <w:tc>
          <w:tcPr>
            <w:tcW w:w="1916" w:type="dxa"/>
            <w:vAlign w:val="center"/>
          </w:tcPr>
          <w:p w14:paraId="3A3C6547">
            <w:pPr>
              <w:jc w:val="center"/>
              <w:rPr>
                <w:rFonts w:ascii="宋体" w:hAnsi="宋体" w:eastAsia="宋体"/>
                <w:sz w:val="24"/>
              </w:rPr>
            </w:pPr>
            <w:r>
              <w:rPr>
                <w:rFonts w:hint="eastAsia" w:ascii="宋体" w:hAnsi="宋体" w:eastAsia="宋体"/>
                <w:sz w:val="24"/>
              </w:rPr>
              <w:t>服务期限</w:t>
            </w:r>
          </w:p>
        </w:tc>
        <w:tc>
          <w:tcPr>
            <w:tcW w:w="2497" w:type="dxa"/>
            <w:vAlign w:val="center"/>
          </w:tcPr>
          <w:p w14:paraId="2AF67050">
            <w:pPr>
              <w:jc w:val="center"/>
              <w:rPr>
                <w:rFonts w:asciiTheme="minorEastAsia" w:hAnsiTheme="minorEastAsia" w:eastAsiaTheme="minorEastAsia"/>
                <w:sz w:val="24"/>
              </w:rPr>
            </w:pPr>
          </w:p>
        </w:tc>
        <w:tc>
          <w:tcPr>
            <w:tcW w:w="2575" w:type="dxa"/>
            <w:vAlign w:val="center"/>
          </w:tcPr>
          <w:p w14:paraId="6CBC0088">
            <w:pPr>
              <w:pStyle w:val="36"/>
              <w:jc w:val="center"/>
              <w:rPr>
                <w:rFonts w:asciiTheme="minorEastAsia" w:hAnsiTheme="minorEastAsia" w:eastAsiaTheme="minorEastAsia"/>
              </w:rPr>
            </w:pPr>
          </w:p>
        </w:tc>
        <w:tc>
          <w:tcPr>
            <w:tcW w:w="810" w:type="dxa"/>
            <w:vAlign w:val="center"/>
          </w:tcPr>
          <w:p w14:paraId="2AB9B4DE">
            <w:pPr>
              <w:jc w:val="center"/>
              <w:rPr>
                <w:rFonts w:asciiTheme="minorEastAsia" w:hAnsiTheme="minorEastAsia" w:eastAsiaTheme="minorEastAsia"/>
                <w:sz w:val="24"/>
              </w:rPr>
            </w:pPr>
          </w:p>
        </w:tc>
      </w:tr>
    </w:tbl>
    <w:p w14:paraId="1EF1F2D7">
      <w:pPr>
        <w:pStyle w:val="11"/>
        <w:spacing w:line="360" w:lineRule="auto"/>
        <w:rPr>
          <w:rFonts w:asciiTheme="minorEastAsia" w:hAnsiTheme="minorEastAsia" w:eastAsiaTheme="minorEastAsia"/>
          <w:sz w:val="24"/>
        </w:rPr>
      </w:pPr>
    </w:p>
    <w:p w14:paraId="3C7EFD42">
      <w:pPr>
        <w:spacing w:line="360" w:lineRule="auto"/>
        <w:jc w:val="center"/>
        <w:outlineLvl w:val="1"/>
        <w:rPr>
          <w:rFonts w:asciiTheme="minorEastAsia" w:hAnsiTheme="minorEastAsia" w:eastAsiaTheme="minorEastAsia"/>
          <w:b/>
          <w:sz w:val="24"/>
        </w:rPr>
      </w:pPr>
      <w:bookmarkStart w:id="188" w:name="_Toc23532"/>
      <w:r>
        <w:rPr>
          <w:rFonts w:hint="eastAsia" w:asciiTheme="minorEastAsia" w:hAnsiTheme="minorEastAsia" w:eastAsiaTheme="minorEastAsia"/>
          <w:b/>
          <w:sz w:val="24"/>
        </w:rPr>
        <w:t>七、人员配备</w:t>
      </w:r>
      <w:bookmarkEnd w:id="188"/>
    </w:p>
    <w:p w14:paraId="0833998E">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p>
    <w:p w14:paraId="066DB820">
      <w:pPr>
        <w:widowControl/>
        <w:jc w:val="left"/>
        <w:rPr>
          <w:rFonts w:asciiTheme="minorEastAsia" w:hAnsiTheme="minorEastAsia" w:eastAsiaTheme="minorEastAsia"/>
          <w:sz w:val="24"/>
        </w:rPr>
      </w:pPr>
    </w:p>
    <w:p w14:paraId="52A0B853">
      <w:pPr>
        <w:spacing w:line="360" w:lineRule="auto"/>
        <w:jc w:val="center"/>
        <w:outlineLvl w:val="1"/>
        <w:rPr>
          <w:rFonts w:asciiTheme="minorEastAsia" w:hAnsiTheme="minorEastAsia" w:eastAsiaTheme="minorEastAsia"/>
          <w:b/>
          <w:sz w:val="24"/>
        </w:rPr>
      </w:pPr>
      <w:bookmarkStart w:id="189" w:name="_Toc20566"/>
      <w:r>
        <w:rPr>
          <w:rFonts w:hint="eastAsia" w:asciiTheme="minorEastAsia" w:hAnsiTheme="minorEastAsia" w:eastAsiaTheme="minorEastAsia"/>
          <w:b/>
          <w:sz w:val="24"/>
        </w:rPr>
        <w:t>八、服务方案</w:t>
      </w:r>
      <w:bookmarkEnd w:id="189"/>
    </w:p>
    <w:p w14:paraId="09359907">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p>
    <w:p w14:paraId="47489C51"/>
    <w:p w14:paraId="18576183">
      <w:pPr>
        <w:spacing w:line="360" w:lineRule="auto"/>
        <w:jc w:val="center"/>
        <w:outlineLvl w:val="1"/>
        <w:rPr>
          <w:rFonts w:asciiTheme="minorEastAsia" w:hAnsiTheme="minorEastAsia" w:eastAsiaTheme="minorEastAsia"/>
          <w:b/>
          <w:sz w:val="24"/>
        </w:rPr>
      </w:pPr>
      <w:bookmarkStart w:id="190" w:name="_Toc31009"/>
      <w:r>
        <w:rPr>
          <w:rFonts w:hint="eastAsia" w:asciiTheme="minorEastAsia" w:hAnsiTheme="minorEastAsia" w:eastAsiaTheme="minorEastAsia"/>
          <w:b/>
          <w:sz w:val="24"/>
        </w:rPr>
        <w:t>九、服务承诺</w:t>
      </w:r>
      <w:bookmarkEnd w:id="190"/>
    </w:p>
    <w:p w14:paraId="61C60B25">
      <w:pPr>
        <w:spacing w:line="360" w:lineRule="auto"/>
        <w:jc w:val="center"/>
        <w:rPr>
          <w:rFonts w:asciiTheme="minorEastAsia" w:hAnsiTheme="minorEastAsia" w:eastAsiaTheme="minorEastAsia"/>
          <w:i/>
          <w:sz w:val="24"/>
        </w:rPr>
      </w:pPr>
      <w:r>
        <w:rPr>
          <w:rFonts w:asciiTheme="minorEastAsia" w:hAnsiTheme="minorEastAsia" w:eastAsiaTheme="minorEastAsia"/>
          <w:i/>
          <w:sz w:val="24"/>
        </w:rPr>
        <w:t>(</w:t>
      </w:r>
      <w:r>
        <w:rPr>
          <w:rFonts w:hint="eastAsia" w:asciiTheme="minorEastAsia" w:hAnsiTheme="minorEastAsia" w:eastAsiaTheme="minorEastAsia"/>
          <w:i/>
          <w:sz w:val="24"/>
        </w:rPr>
        <w:t>供应商</w:t>
      </w:r>
      <w:r>
        <w:rPr>
          <w:rFonts w:asciiTheme="minorEastAsia" w:hAnsiTheme="minorEastAsia" w:eastAsiaTheme="minorEastAsia"/>
          <w:i/>
          <w:sz w:val="24"/>
        </w:rPr>
        <w:t>可自行制作格式)</w:t>
      </w:r>
    </w:p>
    <w:p w14:paraId="5604DFC3">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24D2D410">
      <w:pPr>
        <w:spacing w:line="360" w:lineRule="auto"/>
        <w:jc w:val="center"/>
        <w:outlineLvl w:val="1"/>
        <w:rPr>
          <w:rFonts w:asciiTheme="minorEastAsia" w:hAnsiTheme="minorEastAsia" w:eastAsiaTheme="minorEastAsia"/>
          <w:b/>
          <w:sz w:val="24"/>
        </w:rPr>
      </w:pPr>
      <w:bookmarkStart w:id="191" w:name="_Toc14615"/>
      <w:r>
        <w:rPr>
          <w:rFonts w:hint="eastAsia" w:asciiTheme="minorEastAsia" w:hAnsiTheme="minorEastAsia" w:eastAsiaTheme="minorEastAsia"/>
          <w:b/>
          <w:sz w:val="24"/>
        </w:rPr>
        <w:t>十、磋商业绩承诺函</w:t>
      </w:r>
      <w:bookmarkEnd w:id="191"/>
    </w:p>
    <w:p w14:paraId="3A76CACA">
      <w:pPr>
        <w:spacing w:line="360" w:lineRule="auto"/>
        <w:ind w:firstLine="435"/>
        <w:rPr>
          <w:rFonts w:asciiTheme="minorEastAsia" w:hAnsiTheme="minorEastAsia" w:eastAsiaTheme="minorEastAsia"/>
          <w:sz w:val="24"/>
        </w:rPr>
      </w:pPr>
    </w:p>
    <w:p w14:paraId="24D8C8E2">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我单位承诺：响应文件中所提供的业绩均真实有效，</w:t>
      </w:r>
      <w:r>
        <w:rPr>
          <w:rFonts w:hint="eastAsia" w:ascii="宋体" w:hAnsi="宋体" w:eastAsia="宋体" w:cs="宋体"/>
          <w:color w:val="auto"/>
          <w:sz w:val="24"/>
          <w:szCs w:val="24"/>
          <w:highlight w:val="none"/>
          <w:u w:val="none"/>
          <w:lang w:val="en-US" w:eastAsia="zh-CN"/>
        </w:rPr>
        <w:t>且不属于与</w:t>
      </w:r>
      <w:r>
        <w:rPr>
          <w:rFonts w:hint="eastAsia" w:ascii="宋体" w:hAnsi="宋体" w:eastAsia="宋体" w:cs="宋体"/>
          <w:color w:val="auto"/>
          <w:sz w:val="24"/>
          <w:szCs w:val="24"/>
          <w:highlight w:val="none"/>
          <w:u w:val="none"/>
        </w:rPr>
        <w:t>关联公司（如母公司、控股公司、分公司、子公司、同一法定代表人的公司）之间的</w:t>
      </w:r>
      <w:r>
        <w:rPr>
          <w:rFonts w:hint="eastAsia" w:ascii="宋体" w:hAnsi="宋体" w:eastAsia="宋体" w:cs="宋体"/>
          <w:color w:val="auto"/>
          <w:sz w:val="24"/>
          <w:szCs w:val="24"/>
          <w:highlight w:val="none"/>
          <w:u w:val="none"/>
          <w:lang w:val="en-US" w:eastAsia="zh-CN"/>
        </w:rPr>
        <w:t>业绩</w:t>
      </w:r>
      <w:r>
        <w:rPr>
          <w:rFonts w:hint="eastAsia" w:ascii="宋体" w:hAnsi="宋体" w:eastAsia="宋体" w:cs="宋体"/>
          <w:color w:val="auto"/>
          <w:sz w:val="24"/>
          <w:szCs w:val="24"/>
          <w:highlight w:val="none"/>
          <w:u w:val="none"/>
        </w:rPr>
        <w:t>，</w:t>
      </w:r>
      <w:r>
        <w:rPr>
          <w:rFonts w:hint="eastAsia" w:asciiTheme="minorEastAsia" w:hAnsiTheme="minorEastAsia" w:eastAsiaTheme="minorEastAsia"/>
          <w:sz w:val="24"/>
        </w:rPr>
        <w:t>若被发现存在任何虚假、隐瞒情况，我单位承担由此产生的一切后果。</w:t>
      </w:r>
    </w:p>
    <w:p w14:paraId="24B2799B">
      <w:pPr>
        <w:spacing w:line="360" w:lineRule="auto"/>
        <w:ind w:firstLine="435"/>
        <w:rPr>
          <w:rFonts w:asciiTheme="minorEastAsia" w:hAnsiTheme="minorEastAsia" w:eastAsiaTheme="minorEastAsia"/>
          <w:sz w:val="24"/>
        </w:rPr>
      </w:pPr>
    </w:p>
    <w:p w14:paraId="30A1BAFC">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供应商电子签章：</w:t>
      </w:r>
      <w:r>
        <w:rPr>
          <w:rFonts w:hint="eastAsia" w:asciiTheme="minorEastAsia" w:hAnsiTheme="minorEastAsia" w:eastAsiaTheme="minorEastAsia"/>
          <w:sz w:val="24"/>
          <w:u w:val="single"/>
        </w:rPr>
        <w:t xml:space="preserve">              </w:t>
      </w:r>
    </w:p>
    <w:p w14:paraId="672B6A20">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 xml:space="preserve">日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w:t>
      </w:r>
      <w:r>
        <w:rPr>
          <w:rFonts w:asciiTheme="minorEastAsia" w:hAnsiTheme="minorEastAsia" w:eastAsiaTheme="minorEastAsia"/>
          <w:sz w:val="24"/>
        </w:rPr>
        <w:t xml:space="preserve">   </w:t>
      </w:r>
      <w:r>
        <w:rPr>
          <w:rFonts w:hint="eastAsia" w:asciiTheme="minorEastAsia" w:hAnsiTheme="minorEastAsia" w:eastAsiaTheme="minorEastAsia"/>
          <w:sz w:val="24"/>
        </w:rPr>
        <w:t xml:space="preserve">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494CE3DF">
      <w:pPr>
        <w:tabs>
          <w:tab w:val="left" w:pos="630"/>
        </w:tabs>
        <w:spacing w:line="360" w:lineRule="auto"/>
        <w:ind w:firstLine="3700" w:firstLineChars="1762"/>
        <w:rPr>
          <w:rFonts w:asciiTheme="minorEastAsia" w:hAnsiTheme="minorEastAsia" w:eastAsiaTheme="minorEastAsia"/>
        </w:rPr>
      </w:pPr>
    </w:p>
    <w:tbl>
      <w:tblPr>
        <w:tblStyle w:val="20"/>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4106"/>
        <w:gridCol w:w="2528"/>
        <w:gridCol w:w="948"/>
      </w:tblGrid>
      <w:tr w14:paraId="741A9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940" w:type="dxa"/>
            <w:vAlign w:val="center"/>
          </w:tcPr>
          <w:p w14:paraId="30CFA6FB">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4106" w:type="dxa"/>
            <w:vAlign w:val="center"/>
          </w:tcPr>
          <w:p w14:paraId="3D82CCC4">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项目名称</w:t>
            </w:r>
          </w:p>
        </w:tc>
        <w:tc>
          <w:tcPr>
            <w:tcW w:w="2528" w:type="dxa"/>
            <w:vAlign w:val="center"/>
          </w:tcPr>
          <w:p w14:paraId="6301036B">
            <w:pPr>
              <w:widowControl/>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服务范围</w:t>
            </w:r>
          </w:p>
        </w:tc>
        <w:tc>
          <w:tcPr>
            <w:tcW w:w="948" w:type="dxa"/>
            <w:vAlign w:val="center"/>
          </w:tcPr>
          <w:p w14:paraId="6CA28765">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备注</w:t>
            </w:r>
          </w:p>
        </w:tc>
      </w:tr>
      <w:tr w14:paraId="6C21C1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24C007C9">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4106" w:type="dxa"/>
            <w:vAlign w:val="center"/>
          </w:tcPr>
          <w:p w14:paraId="3F931395">
            <w:pPr>
              <w:spacing w:line="360" w:lineRule="auto"/>
              <w:rPr>
                <w:rFonts w:asciiTheme="minorEastAsia" w:hAnsiTheme="minorEastAsia" w:eastAsiaTheme="minorEastAsia"/>
                <w:sz w:val="24"/>
                <w:szCs w:val="24"/>
              </w:rPr>
            </w:pPr>
          </w:p>
        </w:tc>
        <w:tc>
          <w:tcPr>
            <w:tcW w:w="2528" w:type="dxa"/>
            <w:vAlign w:val="center"/>
          </w:tcPr>
          <w:p w14:paraId="715A5BEA">
            <w:pPr>
              <w:spacing w:line="360" w:lineRule="auto"/>
              <w:rPr>
                <w:rFonts w:asciiTheme="minorEastAsia" w:hAnsiTheme="minorEastAsia" w:eastAsiaTheme="minorEastAsia"/>
                <w:sz w:val="24"/>
                <w:szCs w:val="24"/>
              </w:rPr>
            </w:pPr>
          </w:p>
        </w:tc>
        <w:tc>
          <w:tcPr>
            <w:tcW w:w="948" w:type="dxa"/>
            <w:vAlign w:val="center"/>
          </w:tcPr>
          <w:p w14:paraId="42887EA6">
            <w:pPr>
              <w:spacing w:line="360" w:lineRule="auto"/>
              <w:rPr>
                <w:rFonts w:asciiTheme="minorEastAsia" w:hAnsiTheme="minorEastAsia" w:eastAsiaTheme="minorEastAsia"/>
                <w:sz w:val="24"/>
                <w:szCs w:val="24"/>
              </w:rPr>
            </w:pPr>
          </w:p>
        </w:tc>
      </w:tr>
      <w:tr w14:paraId="63173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6F84FDDA">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4106" w:type="dxa"/>
            <w:vAlign w:val="center"/>
          </w:tcPr>
          <w:p w14:paraId="2541632F">
            <w:pPr>
              <w:spacing w:line="360" w:lineRule="auto"/>
              <w:rPr>
                <w:rFonts w:asciiTheme="minorEastAsia" w:hAnsiTheme="minorEastAsia" w:eastAsiaTheme="minorEastAsia"/>
                <w:sz w:val="24"/>
                <w:szCs w:val="24"/>
              </w:rPr>
            </w:pPr>
          </w:p>
        </w:tc>
        <w:tc>
          <w:tcPr>
            <w:tcW w:w="2528" w:type="dxa"/>
            <w:vAlign w:val="center"/>
          </w:tcPr>
          <w:p w14:paraId="14A97937">
            <w:pPr>
              <w:spacing w:line="360" w:lineRule="auto"/>
              <w:rPr>
                <w:rFonts w:asciiTheme="minorEastAsia" w:hAnsiTheme="minorEastAsia" w:eastAsiaTheme="minorEastAsia"/>
                <w:sz w:val="24"/>
                <w:szCs w:val="24"/>
              </w:rPr>
            </w:pPr>
          </w:p>
        </w:tc>
        <w:tc>
          <w:tcPr>
            <w:tcW w:w="948" w:type="dxa"/>
            <w:vAlign w:val="center"/>
          </w:tcPr>
          <w:p w14:paraId="0AD4C69F">
            <w:pPr>
              <w:spacing w:line="360" w:lineRule="auto"/>
              <w:rPr>
                <w:rFonts w:asciiTheme="minorEastAsia" w:hAnsiTheme="minorEastAsia" w:eastAsiaTheme="minorEastAsia"/>
                <w:sz w:val="24"/>
                <w:szCs w:val="24"/>
              </w:rPr>
            </w:pPr>
          </w:p>
        </w:tc>
      </w:tr>
      <w:tr w14:paraId="31034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0CBFC1E9">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4106" w:type="dxa"/>
            <w:vAlign w:val="center"/>
          </w:tcPr>
          <w:p w14:paraId="1B766118">
            <w:pPr>
              <w:spacing w:line="360" w:lineRule="auto"/>
              <w:rPr>
                <w:rFonts w:asciiTheme="minorEastAsia" w:hAnsiTheme="minorEastAsia" w:eastAsiaTheme="minorEastAsia"/>
                <w:sz w:val="24"/>
                <w:szCs w:val="24"/>
              </w:rPr>
            </w:pPr>
          </w:p>
        </w:tc>
        <w:tc>
          <w:tcPr>
            <w:tcW w:w="2528" w:type="dxa"/>
            <w:vAlign w:val="center"/>
          </w:tcPr>
          <w:p w14:paraId="5AF83473">
            <w:pPr>
              <w:spacing w:line="360" w:lineRule="auto"/>
              <w:rPr>
                <w:rFonts w:asciiTheme="minorEastAsia" w:hAnsiTheme="minorEastAsia" w:eastAsiaTheme="minorEastAsia"/>
                <w:sz w:val="24"/>
                <w:szCs w:val="24"/>
              </w:rPr>
            </w:pPr>
          </w:p>
        </w:tc>
        <w:tc>
          <w:tcPr>
            <w:tcW w:w="948" w:type="dxa"/>
            <w:vAlign w:val="center"/>
          </w:tcPr>
          <w:p w14:paraId="287C86EE">
            <w:pPr>
              <w:spacing w:line="360" w:lineRule="auto"/>
              <w:rPr>
                <w:rFonts w:asciiTheme="minorEastAsia" w:hAnsiTheme="minorEastAsia" w:eastAsiaTheme="minorEastAsia"/>
                <w:sz w:val="24"/>
                <w:szCs w:val="24"/>
              </w:rPr>
            </w:pPr>
          </w:p>
        </w:tc>
      </w:tr>
      <w:tr w14:paraId="05240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709A2187">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4106" w:type="dxa"/>
            <w:vAlign w:val="center"/>
          </w:tcPr>
          <w:p w14:paraId="3DBAC070">
            <w:pPr>
              <w:spacing w:line="360" w:lineRule="auto"/>
              <w:rPr>
                <w:rFonts w:asciiTheme="minorEastAsia" w:hAnsiTheme="minorEastAsia" w:eastAsiaTheme="minorEastAsia"/>
                <w:sz w:val="24"/>
                <w:szCs w:val="24"/>
              </w:rPr>
            </w:pPr>
          </w:p>
        </w:tc>
        <w:tc>
          <w:tcPr>
            <w:tcW w:w="2528" w:type="dxa"/>
            <w:vAlign w:val="center"/>
          </w:tcPr>
          <w:p w14:paraId="4E1A9CFE">
            <w:pPr>
              <w:spacing w:line="360" w:lineRule="auto"/>
              <w:rPr>
                <w:rFonts w:asciiTheme="minorEastAsia" w:hAnsiTheme="minorEastAsia" w:eastAsiaTheme="minorEastAsia"/>
                <w:sz w:val="24"/>
                <w:szCs w:val="24"/>
              </w:rPr>
            </w:pPr>
          </w:p>
        </w:tc>
        <w:tc>
          <w:tcPr>
            <w:tcW w:w="948" w:type="dxa"/>
            <w:vAlign w:val="center"/>
          </w:tcPr>
          <w:p w14:paraId="5437D1E0">
            <w:pPr>
              <w:spacing w:line="360" w:lineRule="auto"/>
              <w:rPr>
                <w:rFonts w:asciiTheme="minorEastAsia" w:hAnsiTheme="minorEastAsia" w:eastAsiaTheme="minorEastAsia"/>
                <w:sz w:val="24"/>
                <w:szCs w:val="24"/>
              </w:rPr>
            </w:pPr>
          </w:p>
        </w:tc>
      </w:tr>
      <w:tr w14:paraId="23E60B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7A46F81E">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5</w:t>
            </w:r>
          </w:p>
        </w:tc>
        <w:tc>
          <w:tcPr>
            <w:tcW w:w="4106" w:type="dxa"/>
            <w:vAlign w:val="center"/>
          </w:tcPr>
          <w:p w14:paraId="36859209">
            <w:pPr>
              <w:spacing w:line="360" w:lineRule="auto"/>
              <w:rPr>
                <w:rFonts w:asciiTheme="minorEastAsia" w:hAnsiTheme="minorEastAsia" w:eastAsiaTheme="minorEastAsia"/>
                <w:sz w:val="24"/>
                <w:szCs w:val="24"/>
              </w:rPr>
            </w:pPr>
          </w:p>
        </w:tc>
        <w:tc>
          <w:tcPr>
            <w:tcW w:w="2528" w:type="dxa"/>
            <w:vAlign w:val="center"/>
          </w:tcPr>
          <w:p w14:paraId="542B0E68">
            <w:pPr>
              <w:spacing w:line="360" w:lineRule="auto"/>
              <w:rPr>
                <w:rFonts w:asciiTheme="minorEastAsia" w:hAnsiTheme="minorEastAsia" w:eastAsiaTheme="minorEastAsia"/>
                <w:sz w:val="24"/>
                <w:szCs w:val="24"/>
              </w:rPr>
            </w:pPr>
          </w:p>
        </w:tc>
        <w:tc>
          <w:tcPr>
            <w:tcW w:w="948" w:type="dxa"/>
            <w:vAlign w:val="center"/>
          </w:tcPr>
          <w:p w14:paraId="210AEC02">
            <w:pPr>
              <w:spacing w:line="360" w:lineRule="auto"/>
              <w:rPr>
                <w:rFonts w:asciiTheme="minorEastAsia" w:hAnsiTheme="minorEastAsia" w:eastAsiaTheme="minorEastAsia"/>
                <w:sz w:val="24"/>
                <w:szCs w:val="24"/>
              </w:rPr>
            </w:pPr>
          </w:p>
        </w:tc>
      </w:tr>
      <w:tr w14:paraId="4B38F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0" w:type="dxa"/>
            <w:vAlign w:val="center"/>
          </w:tcPr>
          <w:p w14:paraId="48A754A4">
            <w:pPr>
              <w:spacing w:line="360" w:lineRule="auto"/>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4106" w:type="dxa"/>
            <w:vAlign w:val="center"/>
          </w:tcPr>
          <w:p w14:paraId="14E30D0E">
            <w:pPr>
              <w:spacing w:line="360" w:lineRule="auto"/>
              <w:rPr>
                <w:rFonts w:asciiTheme="minorEastAsia" w:hAnsiTheme="minorEastAsia" w:eastAsiaTheme="minorEastAsia"/>
                <w:sz w:val="24"/>
                <w:szCs w:val="24"/>
              </w:rPr>
            </w:pPr>
          </w:p>
        </w:tc>
        <w:tc>
          <w:tcPr>
            <w:tcW w:w="2528" w:type="dxa"/>
            <w:vAlign w:val="center"/>
          </w:tcPr>
          <w:p w14:paraId="7AD482CD">
            <w:pPr>
              <w:spacing w:line="360" w:lineRule="auto"/>
              <w:rPr>
                <w:rFonts w:asciiTheme="minorEastAsia" w:hAnsiTheme="minorEastAsia" w:eastAsiaTheme="minorEastAsia"/>
                <w:sz w:val="24"/>
                <w:szCs w:val="24"/>
              </w:rPr>
            </w:pPr>
          </w:p>
        </w:tc>
        <w:tc>
          <w:tcPr>
            <w:tcW w:w="948" w:type="dxa"/>
            <w:vAlign w:val="center"/>
          </w:tcPr>
          <w:p w14:paraId="3FF6EE9A">
            <w:pPr>
              <w:spacing w:line="360" w:lineRule="auto"/>
              <w:rPr>
                <w:rFonts w:asciiTheme="minorEastAsia" w:hAnsiTheme="minorEastAsia" w:eastAsiaTheme="minorEastAsia"/>
                <w:sz w:val="24"/>
                <w:szCs w:val="24"/>
              </w:rPr>
            </w:pPr>
          </w:p>
        </w:tc>
      </w:tr>
    </w:tbl>
    <w:p w14:paraId="048DAF29">
      <w:pPr>
        <w:adjustRightInd w:val="0"/>
        <w:snapToGrid w:val="0"/>
        <w:spacing w:line="360" w:lineRule="auto"/>
        <w:rPr>
          <w:rFonts w:asciiTheme="minorEastAsia" w:hAnsiTheme="minorEastAsia" w:eastAsiaTheme="minorEastAsia"/>
          <w:b/>
          <w:bCs/>
          <w:sz w:val="24"/>
          <w:szCs w:val="28"/>
        </w:rPr>
      </w:pPr>
    </w:p>
    <w:p w14:paraId="531692BA">
      <w:pPr>
        <w:adjustRightInd w:val="0"/>
        <w:snapToGrid w:val="0"/>
        <w:spacing w:line="360" w:lineRule="auto"/>
        <w:rPr>
          <w:rFonts w:asciiTheme="minorEastAsia" w:hAnsiTheme="minorEastAsia" w:eastAsiaTheme="minorEastAsia"/>
          <w:b/>
          <w:bCs/>
          <w:sz w:val="24"/>
          <w:szCs w:val="28"/>
        </w:rPr>
      </w:pPr>
      <w:r>
        <w:rPr>
          <w:rFonts w:hint="eastAsia" w:asciiTheme="minorEastAsia" w:hAnsiTheme="minorEastAsia" w:eastAsiaTheme="minorEastAsia"/>
          <w:b/>
          <w:bCs/>
          <w:sz w:val="24"/>
          <w:szCs w:val="28"/>
        </w:rPr>
        <w:t>备注：</w:t>
      </w:r>
    </w:p>
    <w:p w14:paraId="22CB097F">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表中所列业绩应为供应商满足磋商文件要求的业绩；</w:t>
      </w:r>
    </w:p>
    <w:p w14:paraId="1BB99DA8">
      <w:pPr>
        <w:widowControl/>
        <w:jc w:val="left"/>
        <w:rPr>
          <w:rFonts w:asciiTheme="minorEastAsia" w:hAnsiTheme="minorEastAsia" w:eastAsiaTheme="minorEastAsia"/>
          <w:sz w:val="24"/>
        </w:rPr>
      </w:pPr>
      <w:r>
        <w:rPr>
          <w:rFonts w:asciiTheme="minorEastAsia" w:hAnsiTheme="minorEastAsia" w:eastAsiaTheme="minorEastAsia"/>
          <w:sz w:val="24"/>
        </w:rPr>
        <w:br w:type="page"/>
      </w:r>
    </w:p>
    <w:p w14:paraId="3A94482E">
      <w:pPr>
        <w:spacing w:line="360" w:lineRule="auto"/>
        <w:jc w:val="center"/>
        <w:outlineLvl w:val="1"/>
        <w:rPr>
          <w:rFonts w:asciiTheme="minorEastAsia" w:hAnsiTheme="minorEastAsia" w:eastAsiaTheme="minorEastAsia"/>
          <w:b/>
          <w:sz w:val="24"/>
        </w:rPr>
      </w:pPr>
      <w:bookmarkStart w:id="192" w:name="_Toc9440"/>
      <w:r>
        <w:rPr>
          <w:rFonts w:hint="eastAsia" w:asciiTheme="minorEastAsia" w:hAnsiTheme="minorEastAsia" w:eastAsiaTheme="minorEastAsia"/>
          <w:b/>
          <w:sz w:val="24"/>
        </w:rPr>
        <w:t>十一、联合协议</w:t>
      </w:r>
      <w:bookmarkEnd w:id="192"/>
    </w:p>
    <w:p w14:paraId="6F5E3FE2">
      <w:pPr>
        <w:pStyle w:val="17"/>
        <w:spacing w:line="360" w:lineRule="auto"/>
        <w:rPr>
          <w:rFonts w:asciiTheme="minorEastAsia" w:hAnsiTheme="minorEastAsia" w:eastAsiaTheme="minorEastAsia"/>
          <w:color w:val="auto"/>
          <w:sz w:val="24"/>
          <w:highlight w:val="none"/>
        </w:rPr>
      </w:pPr>
      <w:r>
        <w:rPr>
          <w:rFonts w:hint="eastAsia" w:ascii="宋体" w:hAnsi="宋体" w:eastAsia="宋体"/>
          <w:b w:val="0"/>
          <w:i/>
          <w:color w:val="auto"/>
          <w:sz w:val="24"/>
          <w:highlight w:val="none"/>
        </w:rPr>
        <w:t>（</w:t>
      </w:r>
      <w:r>
        <w:rPr>
          <w:rFonts w:hint="eastAsia" w:ascii="宋体" w:hAnsi="宋体" w:eastAsia="宋体"/>
          <w:b w:val="0"/>
          <w:i/>
          <w:color w:val="auto"/>
          <w:sz w:val="24"/>
          <w:highlight w:val="none"/>
          <w:lang w:val="en-US" w:eastAsia="zh-CN"/>
        </w:rPr>
        <w:t>本项目不适用</w:t>
      </w:r>
      <w:r>
        <w:rPr>
          <w:rFonts w:hint="eastAsia" w:ascii="宋体" w:hAnsi="宋体" w:eastAsia="宋体"/>
          <w:b w:val="0"/>
          <w:i/>
          <w:color w:val="auto"/>
          <w:sz w:val="24"/>
          <w:highlight w:val="none"/>
        </w:rPr>
        <w:t>）</w:t>
      </w:r>
    </w:p>
    <w:p w14:paraId="15889B27">
      <w:pPr>
        <w:widowControl/>
        <w:jc w:val="left"/>
        <w:rPr>
          <w:rFonts w:asciiTheme="minorEastAsia" w:hAnsiTheme="minorEastAsia" w:eastAsiaTheme="minorEastAsia"/>
          <w:sz w:val="24"/>
        </w:rPr>
      </w:pPr>
    </w:p>
    <w:p w14:paraId="7B3F9594">
      <w:pPr>
        <w:spacing w:line="360" w:lineRule="auto"/>
        <w:jc w:val="center"/>
        <w:outlineLvl w:val="1"/>
        <w:rPr>
          <w:rFonts w:asciiTheme="minorEastAsia" w:hAnsiTheme="minorEastAsia" w:eastAsiaTheme="minorEastAsia"/>
          <w:b/>
          <w:sz w:val="24"/>
        </w:rPr>
      </w:pPr>
      <w:bookmarkStart w:id="193" w:name="_Hlk44283017"/>
      <w:bookmarkStart w:id="194" w:name="_Hlk11531103"/>
      <w:bookmarkStart w:id="195" w:name="_Toc3700"/>
      <w:r>
        <w:rPr>
          <w:rFonts w:hint="eastAsia" w:asciiTheme="minorEastAsia" w:hAnsiTheme="minorEastAsia" w:eastAsiaTheme="minorEastAsia"/>
          <w:b/>
          <w:sz w:val="24"/>
        </w:rPr>
        <w:t>十二、</w:t>
      </w:r>
      <w:bookmarkEnd w:id="193"/>
      <w:bookmarkEnd w:id="194"/>
      <w:r>
        <w:rPr>
          <w:rFonts w:hint="eastAsia" w:asciiTheme="minorEastAsia" w:hAnsiTheme="minorEastAsia" w:eastAsiaTheme="minorEastAsia"/>
          <w:b/>
          <w:sz w:val="24"/>
        </w:rPr>
        <w:t>其他相关证明材料</w:t>
      </w:r>
      <w:bookmarkEnd w:id="195"/>
    </w:p>
    <w:p w14:paraId="1BAC11F4">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提供符合磋商邀请、采购需求及评审方法和标准规定的相关证明文件。</w:t>
      </w:r>
    </w:p>
    <w:p w14:paraId="422E5634">
      <w:pPr>
        <w:spacing w:line="360" w:lineRule="auto"/>
        <w:ind w:firstLine="435"/>
        <w:rPr>
          <w:rFonts w:asciiTheme="minorEastAsia" w:hAnsiTheme="minorEastAsia" w:eastAsiaTheme="minorEastAsia"/>
          <w:sz w:val="24"/>
        </w:rPr>
      </w:pPr>
    </w:p>
    <w:p w14:paraId="0FDBFFFC">
      <w:pPr>
        <w:spacing w:line="360" w:lineRule="auto"/>
        <w:ind w:firstLine="480" w:firstLineChars="200"/>
        <w:rPr>
          <w:rFonts w:asciiTheme="minorEastAsia" w:hAnsiTheme="minorEastAsia" w:eastAsiaTheme="minorEastAsia"/>
          <w:sz w:val="24"/>
        </w:rPr>
      </w:pPr>
    </w:p>
    <w:p w14:paraId="68F71F6A">
      <w:pPr>
        <w:spacing w:line="360" w:lineRule="auto"/>
        <w:ind w:firstLine="435"/>
        <w:rPr>
          <w:rFonts w:asciiTheme="minorEastAsia" w:hAnsiTheme="minorEastAsia" w:eastAsiaTheme="minorEastAsia"/>
          <w:b/>
          <w:sz w:val="24"/>
        </w:rPr>
      </w:pPr>
      <w:r>
        <w:rPr>
          <w:rFonts w:hint="eastAsia" w:asciiTheme="minorEastAsia" w:hAnsiTheme="minorEastAsia" w:eastAsiaTheme="minorEastAsia"/>
          <w:b/>
          <w:sz w:val="24"/>
        </w:rPr>
        <w:t>特别提示：</w:t>
      </w:r>
    </w:p>
    <w:p w14:paraId="1A8F3610">
      <w:pPr>
        <w:spacing w:line="360" w:lineRule="auto"/>
        <w:ind w:firstLine="435"/>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供应商在响应文件制作时可在此栏内上传磋商</w:t>
      </w:r>
      <w:r>
        <w:rPr>
          <w:rFonts w:asciiTheme="minorEastAsia" w:hAnsiTheme="minorEastAsia" w:eastAsiaTheme="minorEastAsia"/>
          <w:sz w:val="24"/>
        </w:rPr>
        <w:t>文件要求上传的证明资料</w:t>
      </w:r>
      <w:r>
        <w:rPr>
          <w:rFonts w:hint="eastAsia" w:asciiTheme="minorEastAsia" w:hAnsiTheme="minorEastAsia" w:eastAsiaTheme="minorEastAsia"/>
          <w:sz w:val="24"/>
        </w:rPr>
        <w:t>，如营业执照、人员证书、资质证书、荣誉奖项</w:t>
      </w:r>
      <w:r>
        <w:rPr>
          <w:rFonts w:asciiTheme="minorEastAsia" w:hAnsiTheme="minorEastAsia" w:eastAsiaTheme="minorEastAsia"/>
          <w:sz w:val="24"/>
        </w:rPr>
        <w:t>等，应将上述证明材料制作成扫描件上传。</w:t>
      </w:r>
    </w:p>
    <w:p w14:paraId="3AFA6EAB">
      <w:pPr>
        <w:rPr>
          <w:rFonts w:asciiTheme="minorEastAsia" w:hAnsiTheme="minorEastAsia" w:eastAsiaTheme="minorEastAsia"/>
          <w:sz w:val="24"/>
        </w:rPr>
      </w:pPr>
    </w:p>
    <w:sectPr>
      <w:headerReference r:id="rId5" w:type="default"/>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简标宋">
    <w:altName w:val="宋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20503050405090304"/>
    <w:charset w:val="00"/>
    <w:family w:val="roman"/>
    <w:pitch w:val="default"/>
    <w:sig w:usb0="00000000" w:usb1="00000000" w:usb2="00000001" w:usb3="00000000" w:csb0="400001BF" w:csb1="DFF7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2FCC16">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4586998"/>
    </w:sdtPr>
    <w:sdtEndPr>
      <w:rPr>
        <w:rFonts w:asciiTheme="minorEastAsia" w:hAnsiTheme="minorEastAsia" w:eastAsiaTheme="minorEastAsia"/>
        <w:sz w:val="21"/>
        <w:szCs w:val="21"/>
      </w:rPr>
    </w:sdtEndPr>
    <w:sdtContent>
      <w:sdt>
        <w:sdtPr>
          <w:id w:val="-1"/>
        </w:sdtPr>
        <w:sdtEndPr>
          <w:rPr>
            <w:rFonts w:asciiTheme="minorEastAsia" w:hAnsiTheme="minorEastAsia" w:eastAsiaTheme="minorEastAsia"/>
            <w:sz w:val="21"/>
            <w:szCs w:val="21"/>
          </w:rPr>
        </w:sdtEndPr>
        <w:sdtContent>
          <w:p w14:paraId="29EBE314">
            <w:pPr>
              <w:pStyle w:val="13"/>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PAGE</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24</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页/共 </w: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 </w:instrText>
            </w:r>
            <w:r>
              <w:rPr>
                <w:rFonts w:hint="eastAsia" w:asciiTheme="minorEastAsia" w:hAnsiTheme="minorEastAsia" w:eastAsiaTheme="minorEastAsia"/>
                <w:b/>
                <w:bCs/>
                <w:sz w:val="21"/>
                <w:szCs w:val="21"/>
              </w:rPr>
              <w:instrText xml:space="preserve">=</w:instrText>
            </w:r>
            <w:r>
              <w:rPr>
                <w:rFonts w:asciiTheme="minorEastAsia" w:hAnsiTheme="minorEastAsia" w:eastAsiaTheme="minorEastAsia"/>
                <w:b/>
                <w:bCs/>
                <w:sz w:val="21"/>
                <w:szCs w:val="21"/>
              </w:rPr>
              <w:fldChar w:fldCharType="begin"/>
            </w:r>
            <w:r>
              <w:rPr>
                <w:rFonts w:asciiTheme="minorEastAsia" w:hAnsiTheme="minorEastAsia" w:eastAsiaTheme="minorEastAsia"/>
                <w:b/>
                <w:bCs/>
                <w:sz w:val="21"/>
                <w:szCs w:val="21"/>
              </w:rPr>
              <w:instrText xml:space="preserve">NUMPAGES</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instrText xml:space="preserve">59</w:instrText>
            </w:r>
            <w:r>
              <w:rPr>
                <w:rFonts w:asciiTheme="minorEastAsia" w:hAnsiTheme="minorEastAsia" w:eastAsiaTheme="minorEastAsia"/>
                <w:b/>
                <w:bCs/>
                <w:sz w:val="21"/>
                <w:szCs w:val="21"/>
              </w:rPr>
              <w:fldChar w:fldCharType="end"/>
            </w:r>
            <w:r>
              <w:rPr>
                <w:rFonts w:hint="eastAsia" w:asciiTheme="minorEastAsia" w:hAnsiTheme="minorEastAsia" w:eastAsiaTheme="minorEastAsia"/>
                <w:b/>
                <w:bCs/>
                <w:sz w:val="21"/>
                <w:szCs w:val="21"/>
              </w:rPr>
              <w:instrText xml:space="preserve">-2</w:instrText>
            </w:r>
            <w:r>
              <w:rPr>
                <w:rFonts w:asciiTheme="minorEastAsia" w:hAnsiTheme="minorEastAsia" w:eastAsiaTheme="minorEastAsia"/>
                <w:b/>
                <w:bCs/>
                <w:sz w:val="21"/>
                <w:szCs w:val="21"/>
              </w:rPr>
              <w:instrText xml:space="preserve"> </w:instrText>
            </w:r>
            <w:r>
              <w:rPr>
                <w:rFonts w:asciiTheme="minorEastAsia" w:hAnsiTheme="minorEastAsia" w:eastAsiaTheme="minorEastAsia"/>
                <w:b/>
                <w:bCs/>
                <w:sz w:val="21"/>
                <w:szCs w:val="21"/>
              </w:rPr>
              <w:fldChar w:fldCharType="separate"/>
            </w:r>
            <w:r>
              <w:rPr>
                <w:rFonts w:asciiTheme="minorEastAsia" w:hAnsiTheme="minorEastAsia" w:eastAsiaTheme="minorEastAsia"/>
                <w:b/>
                <w:bCs/>
                <w:sz w:val="21"/>
                <w:szCs w:val="21"/>
              </w:rPr>
              <w:t>57</w:t>
            </w:r>
            <w:r>
              <w:rPr>
                <w:rFonts w:asciiTheme="minorEastAsia" w:hAnsiTheme="minorEastAsia" w:eastAsiaTheme="minorEastAsia"/>
                <w:b/>
                <w:bCs/>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C8FC3">
    <w:pPr>
      <w:pStyle w:val="14"/>
      <w:jc w:val="left"/>
    </w:pPr>
    <w:r>
      <w:rPr>
        <w:rFonts w:hint="eastAsia" w:asciiTheme="minorEastAsia" w:hAnsiTheme="minorEastAsia" w:eastAsiaTheme="minorEastAsia"/>
      </w:rPr>
      <w:t>竞争性磋商文件——服务类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014FE6">
    <w:pPr>
      <w:pStyle w:val="14"/>
      <w:jc w:val="left"/>
      <w:rPr>
        <w:rFonts w:asciiTheme="minorEastAsia" w:hAnsiTheme="minorEastAsia" w:eastAsiaTheme="minorEastAsia"/>
      </w:rPr>
    </w:pPr>
    <w:r>
      <w:rPr>
        <w:rFonts w:hint="eastAsia" w:asciiTheme="minorEastAsia" w:hAnsiTheme="minorEastAsia" w:eastAsiaTheme="minorEastAsia"/>
      </w:rPr>
      <w:t>竞争性磋商文件——服务类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AE9CF0"/>
    <w:multiLevelType w:val="singleLevel"/>
    <w:tmpl w:val="A0AE9CF0"/>
    <w:lvl w:ilvl="0" w:tentative="0">
      <w:start w:val="5"/>
      <w:numFmt w:val="decimal"/>
      <w:suff w:val="nothing"/>
      <w:lvlText w:val="%1、"/>
      <w:lvlJc w:val="left"/>
    </w:lvl>
  </w:abstractNum>
  <w:abstractNum w:abstractNumId="1">
    <w:nsid w:val="B70A622E"/>
    <w:multiLevelType w:val="singleLevel"/>
    <w:tmpl w:val="B70A622E"/>
    <w:lvl w:ilvl="0" w:tentative="0">
      <w:start w:val="1"/>
      <w:numFmt w:val="decimal"/>
      <w:lvlText w:val="%1."/>
      <w:lvlJc w:val="left"/>
      <w:pPr>
        <w:tabs>
          <w:tab w:val="left" w:pos="312"/>
        </w:tabs>
      </w:pPr>
    </w:lvl>
  </w:abstractNum>
  <w:abstractNum w:abstractNumId="2">
    <w:nsid w:val="522B921D"/>
    <w:multiLevelType w:val="singleLevel"/>
    <w:tmpl w:val="522B921D"/>
    <w:lvl w:ilvl="0" w:tentative="0">
      <w:start w:val="2"/>
      <w:numFmt w:val="decimal"/>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I4MzRkZTU3MmU3N2RiMWZiMDZhMTU0M2ZhMzZmYjcifQ=="/>
  </w:docVars>
  <w:rsids>
    <w:rsidRoot w:val="00276BA1"/>
    <w:rsid w:val="0000043F"/>
    <w:rsid w:val="000037F9"/>
    <w:rsid w:val="000049DA"/>
    <w:rsid w:val="000056B7"/>
    <w:rsid w:val="00007D87"/>
    <w:rsid w:val="00012C2E"/>
    <w:rsid w:val="000131F7"/>
    <w:rsid w:val="00014039"/>
    <w:rsid w:val="00016B6C"/>
    <w:rsid w:val="00020B57"/>
    <w:rsid w:val="00020B6D"/>
    <w:rsid w:val="000323E2"/>
    <w:rsid w:val="00040C25"/>
    <w:rsid w:val="00042139"/>
    <w:rsid w:val="00042B14"/>
    <w:rsid w:val="00044F49"/>
    <w:rsid w:val="000450C3"/>
    <w:rsid w:val="00050A3F"/>
    <w:rsid w:val="00054AA3"/>
    <w:rsid w:val="00056ECB"/>
    <w:rsid w:val="00057B40"/>
    <w:rsid w:val="000648D2"/>
    <w:rsid w:val="00070E0E"/>
    <w:rsid w:val="0007146E"/>
    <w:rsid w:val="00076DB7"/>
    <w:rsid w:val="00080FEB"/>
    <w:rsid w:val="00086FEB"/>
    <w:rsid w:val="00094D41"/>
    <w:rsid w:val="00097CB9"/>
    <w:rsid w:val="000A0161"/>
    <w:rsid w:val="000A10A9"/>
    <w:rsid w:val="000A6693"/>
    <w:rsid w:val="000A7970"/>
    <w:rsid w:val="000A7D94"/>
    <w:rsid w:val="000B1511"/>
    <w:rsid w:val="000B6249"/>
    <w:rsid w:val="000C1DB1"/>
    <w:rsid w:val="000D3F37"/>
    <w:rsid w:val="000E2129"/>
    <w:rsid w:val="000E3C74"/>
    <w:rsid w:val="000E3F9B"/>
    <w:rsid w:val="000E478E"/>
    <w:rsid w:val="000E6689"/>
    <w:rsid w:val="000F0EBF"/>
    <w:rsid w:val="000F172B"/>
    <w:rsid w:val="000F2198"/>
    <w:rsid w:val="000F39B6"/>
    <w:rsid w:val="000F3A94"/>
    <w:rsid w:val="000F6B7B"/>
    <w:rsid w:val="000F6F95"/>
    <w:rsid w:val="0010021F"/>
    <w:rsid w:val="00100B0F"/>
    <w:rsid w:val="0010187C"/>
    <w:rsid w:val="0010219C"/>
    <w:rsid w:val="001037E3"/>
    <w:rsid w:val="00107022"/>
    <w:rsid w:val="0011660B"/>
    <w:rsid w:val="0012143A"/>
    <w:rsid w:val="0012203E"/>
    <w:rsid w:val="00124691"/>
    <w:rsid w:val="001258BA"/>
    <w:rsid w:val="00130601"/>
    <w:rsid w:val="00132F4D"/>
    <w:rsid w:val="00133EA0"/>
    <w:rsid w:val="00140687"/>
    <w:rsid w:val="00146421"/>
    <w:rsid w:val="00153B20"/>
    <w:rsid w:val="00155F64"/>
    <w:rsid w:val="00157856"/>
    <w:rsid w:val="00160729"/>
    <w:rsid w:val="0016455F"/>
    <w:rsid w:val="00165398"/>
    <w:rsid w:val="00166794"/>
    <w:rsid w:val="00166ED8"/>
    <w:rsid w:val="001714C9"/>
    <w:rsid w:val="00171515"/>
    <w:rsid w:val="001726FF"/>
    <w:rsid w:val="00172B93"/>
    <w:rsid w:val="0018119B"/>
    <w:rsid w:val="001844AB"/>
    <w:rsid w:val="001853C7"/>
    <w:rsid w:val="00192879"/>
    <w:rsid w:val="001944B8"/>
    <w:rsid w:val="00196DA3"/>
    <w:rsid w:val="001971E5"/>
    <w:rsid w:val="001A0C0F"/>
    <w:rsid w:val="001A68E5"/>
    <w:rsid w:val="001B2A54"/>
    <w:rsid w:val="001B2BA4"/>
    <w:rsid w:val="001B5014"/>
    <w:rsid w:val="001B7327"/>
    <w:rsid w:val="001D22EA"/>
    <w:rsid w:val="001D53B4"/>
    <w:rsid w:val="001E1835"/>
    <w:rsid w:val="001F28D2"/>
    <w:rsid w:val="001F2F45"/>
    <w:rsid w:val="001F3023"/>
    <w:rsid w:val="001F35F6"/>
    <w:rsid w:val="001F4AAF"/>
    <w:rsid w:val="001F74CA"/>
    <w:rsid w:val="001F7590"/>
    <w:rsid w:val="002003B6"/>
    <w:rsid w:val="0020244A"/>
    <w:rsid w:val="002049B4"/>
    <w:rsid w:val="0020520B"/>
    <w:rsid w:val="002076AD"/>
    <w:rsid w:val="00213C55"/>
    <w:rsid w:val="00223CF4"/>
    <w:rsid w:val="00224AF1"/>
    <w:rsid w:val="00224B69"/>
    <w:rsid w:val="00224C4A"/>
    <w:rsid w:val="00231187"/>
    <w:rsid w:val="0023407E"/>
    <w:rsid w:val="00240B40"/>
    <w:rsid w:val="00241C45"/>
    <w:rsid w:val="00244182"/>
    <w:rsid w:val="002544A1"/>
    <w:rsid w:val="00257ECE"/>
    <w:rsid w:val="00260382"/>
    <w:rsid w:val="00260B94"/>
    <w:rsid w:val="00264F2E"/>
    <w:rsid w:val="00271245"/>
    <w:rsid w:val="00273F66"/>
    <w:rsid w:val="00274A9E"/>
    <w:rsid w:val="00276BA1"/>
    <w:rsid w:val="00280984"/>
    <w:rsid w:val="002832CF"/>
    <w:rsid w:val="002835E3"/>
    <w:rsid w:val="00284542"/>
    <w:rsid w:val="002A14D1"/>
    <w:rsid w:val="002A1A1D"/>
    <w:rsid w:val="002A28AD"/>
    <w:rsid w:val="002B04FD"/>
    <w:rsid w:val="002B5318"/>
    <w:rsid w:val="002B6D27"/>
    <w:rsid w:val="002B7A09"/>
    <w:rsid w:val="002C060C"/>
    <w:rsid w:val="002C078A"/>
    <w:rsid w:val="002D05DD"/>
    <w:rsid w:val="002D0E4D"/>
    <w:rsid w:val="002D2965"/>
    <w:rsid w:val="002D3D02"/>
    <w:rsid w:val="002D4CB5"/>
    <w:rsid w:val="002D5900"/>
    <w:rsid w:val="002D684B"/>
    <w:rsid w:val="002E2D3A"/>
    <w:rsid w:val="002E3B26"/>
    <w:rsid w:val="002E4AB8"/>
    <w:rsid w:val="002E7FC4"/>
    <w:rsid w:val="00310070"/>
    <w:rsid w:val="0031081B"/>
    <w:rsid w:val="003110EC"/>
    <w:rsid w:val="00314289"/>
    <w:rsid w:val="003206A6"/>
    <w:rsid w:val="0032560D"/>
    <w:rsid w:val="00327C92"/>
    <w:rsid w:val="00333292"/>
    <w:rsid w:val="003344E7"/>
    <w:rsid w:val="0033580B"/>
    <w:rsid w:val="003365E7"/>
    <w:rsid w:val="003378D5"/>
    <w:rsid w:val="003473D7"/>
    <w:rsid w:val="00351AC8"/>
    <w:rsid w:val="00353075"/>
    <w:rsid w:val="00363E02"/>
    <w:rsid w:val="00373A96"/>
    <w:rsid w:val="003826C2"/>
    <w:rsid w:val="00383728"/>
    <w:rsid w:val="00384E57"/>
    <w:rsid w:val="003903BB"/>
    <w:rsid w:val="0039195E"/>
    <w:rsid w:val="00392627"/>
    <w:rsid w:val="00394128"/>
    <w:rsid w:val="00394ADC"/>
    <w:rsid w:val="00395235"/>
    <w:rsid w:val="0039561A"/>
    <w:rsid w:val="00397C7D"/>
    <w:rsid w:val="003A004F"/>
    <w:rsid w:val="003A2158"/>
    <w:rsid w:val="003A3AC4"/>
    <w:rsid w:val="003A5C60"/>
    <w:rsid w:val="003B25A5"/>
    <w:rsid w:val="003B4130"/>
    <w:rsid w:val="003B715B"/>
    <w:rsid w:val="003C2C62"/>
    <w:rsid w:val="003C5566"/>
    <w:rsid w:val="003C577A"/>
    <w:rsid w:val="003D1D14"/>
    <w:rsid w:val="003D6C7C"/>
    <w:rsid w:val="003D6EFB"/>
    <w:rsid w:val="003D7E52"/>
    <w:rsid w:val="003E1D53"/>
    <w:rsid w:val="003E25C6"/>
    <w:rsid w:val="003F7528"/>
    <w:rsid w:val="004011AA"/>
    <w:rsid w:val="0040202C"/>
    <w:rsid w:val="00404A8F"/>
    <w:rsid w:val="00406508"/>
    <w:rsid w:val="004110F6"/>
    <w:rsid w:val="0041456E"/>
    <w:rsid w:val="004148E3"/>
    <w:rsid w:val="00414F7E"/>
    <w:rsid w:val="004164F8"/>
    <w:rsid w:val="00426F05"/>
    <w:rsid w:val="004328E1"/>
    <w:rsid w:val="004427B7"/>
    <w:rsid w:val="0044349F"/>
    <w:rsid w:val="00445F1F"/>
    <w:rsid w:val="00447862"/>
    <w:rsid w:val="00451F60"/>
    <w:rsid w:val="00452BB2"/>
    <w:rsid w:val="004559A7"/>
    <w:rsid w:val="00456054"/>
    <w:rsid w:val="0045656D"/>
    <w:rsid w:val="00462D98"/>
    <w:rsid w:val="00463E7D"/>
    <w:rsid w:val="00472A44"/>
    <w:rsid w:val="00473A89"/>
    <w:rsid w:val="00475899"/>
    <w:rsid w:val="00482C78"/>
    <w:rsid w:val="00483ABC"/>
    <w:rsid w:val="0048634A"/>
    <w:rsid w:val="004874AE"/>
    <w:rsid w:val="0049056F"/>
    <w:rsid w:val="00492217"/>
    <w:rsid w:val="00494D24"/>
    <w:rsid w:val="004951D1"/>
    <w:rsid w:val="004960BB"/>
    <w:rsid w:val="004A1BA3"/>
    <w:rsid w:val="004A27D0"/>
    <w:rsid w:val="004A4D67"/>
    <w:rsid w:val="004B7E79"/>
    <w:rsid w:val="004C13CB"/>
    <w:rsid w:val="004C5B90"/>
    <w:rsid w:val="004D3D4B"/>
    <w:rsid w:val="004D5498"/>
    <w:rsid w:val="004D66A5"/>
    <w:rsid w:val="004D6B00"/>
    <w:rsid w:val="004E1C7A"/>
    <w:rsid w:val="004E1D50"/>
    <w:rsid w:val="004E3266"/>
    <w:rsid w:val="004E38BA"/>
    <w:rsid w:val="004E50CA"/>
    <w:rsid w:val="004F27A0"/>
    <w:rsid w:val="0050027D"/>
    <w:rsid w:val="00501382"/>
    <w:rsid w:val="005048FB"/>
    <w:rsid w:val="00510798"/>
    <w:rsid w:val="005119B5"/>
    <w:rsid w:val="005125F1"/>
    <w:rsid w:val="00524A11"/>
    <w:rsid w:val="00527768"/>
    <w:rsid w:val="00530EA4"/>
    <w:rsid w:val="005327FB"/>
    <w:rsid w:val="00533251"/>
    <w:rsid w:val="00533FCA"/>
    <w:rsid w:val="005346EF"/>
    <w:rsid w:val="005378B2"/>
    <w:rsid w:val="005470D4"/>
    <w:rsid w:val="0055705E"/>
    <w:rsid w:val="005616B5"/>
    <w:rsid w:val="00566690"/>
    <w:rsid w:val="005679A4"/>
    <w:rsid w:val="00574CE6"/>
    <w:rsid w:val="0059223D"/>
    <w:rsid w:val="0059365B"/>
    <w:rsid w:val="00593ABC"/>
    <w:rsid w:val="00597B15"/>
    <w:rsid w:val="005A044C"/>
    <w:rsid w:val="005A149F"/>
    <w:rsid w:val="005A3A32"/>
    <w:rsid w:val="005B2C9F"/>
    <w:rsid w:val="005B34C9"/>
    <w:rsid w:val="005C1D52"/>
    <w:rsid w:val="005D0200"/>
    <w:rsid w:val="005D44EF"/>
    <w:rsid w:val="005D5112"/>
    <w:rsid w:val="005D5D67"/>
    <w:rsid w:val="005E3789"/>
    <w:rsid w:val="005F34CC"/>
    <w:rsid w:val="005F3914"/>
    <w:rsid w:val="005F3B5A"/>
    <w:rsid w:val="005F6AB4"/>
    <w:rsid w:val="00607471"/>
    <w:rsid w:val="00610A66"/>
    <w:rsid w:val="006119B8"/>
    <w:rsid w:val="00613177"/>
    <w:rsid w:val="00613F7C"/>
    <w:rsid w:val="00614BF2"/>
    <w:rsid w:val="0061557C"/>
    <w:rsid w:val="00623DE2"/>
    <w:rsid w:val="00627601"/>
    <w:rsid w:val="006300D0"/>
    <w:rsid w:val="00632012"/>
    <w:rsid w:val="00634694"/>
    <w:rsid w:val="00636517"/>
    <w:rsid w:val="00636EE7"/>
    <w:rsid w:val="00637690"/>
    <w:rsid w:val="00640E1E"/>
    <w:rsid w:val="0064389A"/>
    <w:rsid w:val="00645442"/>
    <w:rsid w:val="006525CD"/>
    <w:rsid w:val="00653F7F"/>
    <w:rsid w:val="00662DCD"/>
    <w:rsid w:val="00662EE8"/>
    <w:rsid w:val="00663813"/>
    <w:rsid w:val="00664AFD"/>
    <w:rsid w:val="00667567"/>
    <w:rsid w:val="0067391A"/>
    <w:rsid w:val="00674173"/>
    <w:rsid w:val="0067534F"/>
    <w:rsid w:val="00677D87"/>
    <w:rsid w:val="00690DB1"/>
    <w:rsid w:val="00693404"/>
    <w:rsid w:val="00694F49"/>
    <w:rsid w:val="006953D9"/>
    <w:rsid w:val="006A1269"/>
    <w:rsid w:val="006A5803"/>
    <w:rsid w:val="006A69C3"/>
    <w:rsid w:val="006A7C15"/>
    <w:rsid w:val="006B1242"/>
    <w:rsid w:val="006B1DBC"/>
    <w:rsid w:val="006B3712"/>
    <w:rsid w:val="006B7D9A"/>
    <w:rsid w:val="006C06D9"/>
    <w:rsid w:val="006C3E22"/>
    <w:rsid w:val="006C5716"/>
    <w:rsid w:val="006C64B2"/>
    <w:rsid w:val="006C74A9"/>
    <w:rsid w:val="006D07DE"/>
    <w:rsid w:val="006D361A"/>
    <w:rsid w:val="006D6A81"/>
    <w:rsid w:val="006E06D9"/>
    <w:rsid w:val="006E1D40"/>
    <w:rsid w:val="006E2E1F"/>
    <w:rsid w:val="006E5059"/>
    <w:rsid w:val="006F5F03"/>
    <w:rsid w:val="006F5FFF"/>
    <w:rsid w:val="006F64BA"/>
    <w:rsid w:val="00710804"/>
    <w:rsid w:val="007110F0"/>
    <w:rsid w:val="00711FC6"/>
    <w:rsid w:val="00712952"/>
    <w:rsid w:val="007130B1"/>
    <w:rsid w:val="00713487"/>
    <w:rsid w:val="00715071"/>
    <w:rsid w:val="007231E9"/>
    <w:rsid w:val="00724F0E"/>
    <w:rsid w:val="007270A6"/>
    <w:rsid w:val="00727C59"/>
    <w:rsid w:val="00733730"/>
    <w:rsid w:val="00734A5D"/>
    <w:rsid w:val="00734E5D"/>
    <w:rsid w:val="00736013"/>
    <w:rsid w:val="00737BF8"/>
    <w:rsid w:val="00741091"/>
    <w:rsid w:val="0074339B"/>
    <w:rsid w:val="00750B60"/>
    <w:rsid w:val="00756245"/>
    <w:rsid w:val="00761662"/>
    <w:rsid w:val="00764043"/>
    <w:rsid w:val="00766A36"/>
    <w:rsid w:val="007757CF"/>
    <w:rsid w:val="007769F6"/>
    <w:rsid w:val="00780F9D"/>
    <w:rsid w:val="0078128F"/>
    <w:rsid w:val="007819D9"/>
    <w:rsid w:val="0078683C"/>
    <w:rsid w:val="00790EDB"/>
    <w:rsid w:val="00791538"/>
    <w:rsid w:val="0079326E"/>
    <w:rsid w:val="00796EDE"/>
    <w:rsid w:val="007A5A58"/>
    <w:rsid w:val="007B1C56"/>
    <w:rsid w:val="007C06AC"/>
    <w:rsid w:val="007C1DD7"/>
    <w:rsid w:val="007C3CD5"/>
    <w:rsid w:val="007C4756"/>
    <w:rsid w:val="007C5E88"/>
    <w:rsid w:val="007C61EF"/>
    <w:rsid w:val="007D03DE"/>
    <w:rsid w:val="007D1C0D"/>
    <w:rsid w:val="007D2D23"/>
    <w:rsid w:val="007E27D6"/>
    <w:rsid w:val="007E3921"/>
    <w:rsid w:val="00801028"/>
    <w:rsid w:val="00803793"/>
    <w:rsid w:val="00804000"/>
    <w:rsid w:val="008101A2"/>
    <w:rsid w:val="00815B3C"/>
    <w:rsid w:val="008172F7"/>
    <w:rsid w:val="00817A01"/>
    <w:rsid w:val="00820937"/>
    <w:rsid w:val="00825E35"/>
    <w:rsid w:val="00830A4E"/>
    <w:rsid w:val="008334F8"/>
    <w:rsid w:val="008344E6"/>
    <w:rsid w:val="00835FFD"/>
    <w:rsid w:val="0084381F"/>
    <w:rsid w:val="00843E35"/>
    <w:rsid w:val="008524CE"/>
    <w:rsid w:val="00857633"/>
    <w:rsid w:val="0086440C"/>
    <w:rsid w:val="008674ED"/>
    <w:rsid w:val="00874EE6"/>
    <w:rsid w:val="00876659"/>
    <w:rsid w:val="0087734C"/>
    <w:rsid w:val="00882141"/>
    <w:rsid w:val="00886BD4"/>
    <w:rsid w:val="008876EC"/>
    <w:rsid w:val="008922A8"/>
    <w:rsid w:val="00895BD5"/>
    <w:rsid w:val="008976F1"/>
    <w:rsid w:val="008A16C4"/>
    <w:rsid w:val="008A4A27"/>
    <w:rsid w:val="008A649F"/>
    <w:rsid w:val="008A6FED"/>
    <w:rsid w:val="008B39C5"/>
    <w:rsid w:val="008B51AA"/>
    <w:rsid w:val="008B79D5"/>
    <w:rsid w:val="008C67F2"/>
    <w:rsid w:val="008D064A"/>
    <w:rsid w:val="008D2537"/>
    <w:rsid w:val="008D2B0F"/>
    <w:rsid w:val="008D633C"/>
    <w:rsid w:val="008E449E"/>
    <w:rsid w:val="008E4BDD"/>
    <w:rsid w:val="008E770C"/>
    <w:rsid w:val="008F187F"/>
    <w:rsid w:val="008F402F"/>
    <w:rsid w:val="008F76E8"/>
    <w:rsid w:val="00904508"/>
    <w:rsid w:val="009078A1"/>
    <w:rsid w:val="00911E9C"/>
    <w:rsid w:val="00917405"/>
    <w:rsid w:val="00920F7C"/>
    <w:rsid w:val="00922718"/>
    <w:rsid w:val="00924743"/>
    <w:rsid w:val="00932A87"/>
    <w:rsid w:val="00934CAE"/>
    <w:rsid w:val="0093560E"/>
    <w:rsid w:val="0094257D"/>
    <w:rsid w:val="009443B6"/>
    <w:rsid w:val="00946F68"/>
    <w:rsid w:val="0095467C"/>
    <w:rsid w:val="00954A61"/>
    <w:rsid w:val="00955C6F"/>
    <w:rsid w:val="00966C7B"/>
    <w:rsid w:val="009701DC"/>
    <w:rsid w:val="009715D8"/>
    <w:rsid w:val="009811A8"/>
    <w:rsid w:val="00991460"/>
    <w:rsid w:val="00995BF9"/>
    <w:rsid w:val="009975CC"/>
    <w:rsid w:val="009A0CAF"/>
    <w:rsid w:val="009A2207"/>
    <w:rsid w:val="009B0EDA"/>
    <w:rsid w:val="009B6C42"/>
    <w:rsid w:val="009D2998"/>
    <w:rsid w:val="009D31F7"/>
    <w:rsid w:val="009D32C2"/>
    <w:rsid w:val="009D50DB"/>
    <w:rsid w:val="009E2932"/>
    <w:rsid w:val="009E3A0A"/>
    <w:rsid w:val="009F1936"/>
    <w:rsid w:val="009F3E91"/>
    <w:rsid w:val="00A008DA"/>
    <w:rsid w:val="00A00C93"/>
    <w:rsid w:val="00A03957"/>
    <w:rsid w:val="00A0571E"/>
    <w:rsid w:val="00A13A27"/>
    <w:rsid w:val="00A1499B"/>
    <w:rsid w:val="00A170D8"/>
    <w:rsid w:val="00A30A1B"/>
    <w:rsid w:val="00A314C2"/>
    <w:rsid w:val="00A478D9"/>
    <w:rsid w:val="00A501BF"/>
    <w:rsid w:val="00A519A0"/>
    <w:rsid w:val="00A62A2E"/>
    <w:rsid w:val="00A63E86"/>
    <w:rsid w:val="00A75185"/>
    <w:rsid w:val="00A754A0"/>
    <w:rsid w:val="00A757C3"/>
    <w:rsid w:val="00A75E5B"/>
    <w:rsid w:val="00A75F4B"/>
    <w:rsid w:val="00A7684A"/>
    <w:rsid w:val="00A83B69"/>
    <w:rsid w:val="00A86533"/>
    <w:rsid w:val="00A91CA2"/>
    <w:rsid w:val="00A92FB8"/>
    <w:rsid w:val="00A948F1"/>
    <w:rsid w:val="00AA0BE3"/>
    <w:rsid w:val="00AA18F9"/>
    <w:rsid w:val="00AA1D7D"/>
    <w:rsid w:val="00AA2790"/>
    <w:rsid w:val="00AA3806"/>
    <w:rsid w:val="00AB139D"/>
    <w:rsid w:val="00AB2A35"/>
    <w:rsid w:val="00AB2D05"/>
    <w:rsid w:val="00AB3EFB"/>
    <w:rsid w:val="00AC0B05"/>
    <w:rsid w:val="00AC1962"/>
    <w:rsid w:val="00AC7F9D"/>
    <w:rsid w:val="00AD02EC"/>
    <w:rsid w:val="00AD079A"/>
    <w:rsid w:val="00AD1890"/>
    <w:rsid w:val="00AE2149"/>
    <w:rsid w:val="00AE2BF3"/>
    <w:rsid w:val="00AE33AE"/>
    <w:rsid w:val="00AE3F91"/>
    <w:rsid w:val="00AF30E4"/>
    <w:rsid w:val="00AF5B63"/>
    <w:rsid w:val="00B0053D"/>
    <w:rsid w:val="00B039E3"/>
    <w:rsid w:val="00B06D36"/>
    <w:rsid w:val="00B12BC4"/>
    <w:rsid w:val="00B22838"/>
    <w:rsid w:val="00B33E8F"/>
    <w:rsid w:val="00B33E95"/>
    <w:rsid w:val="00B3720B"/>
    <w:rsid w:val="00B45D0B"/>
    <w:rsid w:val="00B5558A"/>
    <w:rsid w:val="00B56513"/>
    <w:rsid w:val="00B61B64"/>
    <w:rsid w:val="00B633C1"/>
    <w:rsid w:val="00B64376"/>
    <w:rsid w:val="00B6570C"/>
    <w:rsid w:val="00B7401F"/>
    <w:rsid w:val="00B769CF"/>
    <w:rsid w:val="00B806C3"/>
    <w:rsid w:val="00B80D6F"/>
    <w:rsid w:val="00B819CD"/>
    <w:rsid w:val="00B826E5"/>
    <w:rsid w:val="00B84FCA"/>
    <w:rsid w:val="00B9089F"/>
    <w:rsid w:val="00B91826"/>
    <w:rsid w:val="00B91AEE"/>
    <w:rsid w:val="00B922CF"/>
    <w:rsid w:val="00B95F5A"/>
    <w:rsid w:val="00B96EAD"/>
    <w:rsid w:val="00BA4B7C"/>
    <w:rsid w:val="00BA79F5"/>
    <w:rsid w:val="00BA7EA7"/>
    <w:rsid w:val="00BB3AB6"/>
    <w:rsid w:val="00BB766D"/>
    <w:rsid w:val="00BC007B"/>
    <w:rsid w:val="00BC26BA"/>
    <w:rsid w:val="00BC35F8"/>
    <w:rsid w:val="00BC481B"/>
    <w:rsid w:val="00BC74A8"/>
    <w:rsid w:val="00BD08DF"/>
    <w:rsid w:val="00BD2D29"/>
    <w:rsid w:val="00BD617C"/>
    <w:rsid w:val="00BE019B"/>
    <w:rsid w:val="00BE782C"/>
    <w:rsid w:val="00BF376F"/>
    <w:rsid w:val="00BF46A6"/>
    <w:rsid w:val="00BF6CAD"/>
    <w:rsid w:val="00BF71FB"/>
    <w:rsid w:val="00C04DBF"/>
    <w:rsid w:val="00C05E4C"/>
    <w:rsid w:val="00C06545"/>
    <w:rsid w:val="00C134AF"/>
    <w:rsid w:val="00C220FC"/>
    <w:rsid w:val="00C24DFA"/>
    <w:rsid w:val="00C24F9D"/>
    <w:rsid w:val="00C30182"/>
    <w:rsid w:val="00C31FC9"/>
    <w:rsid w:val="00C37A63"/>
    <w:rsid w:val="00C42248"/>
    <w:rsid w:val="00C46A36"/>
    <w:rsid w:val="00C47037"/>
    <w:rsid w:val="00C509E3"/>
    <w:rsid w:val="00C53625"/>
    <w:rsid w:val="00C548BA"/>
    <w:rsid w:val="00C5679D"/>
    <w:rsid w:val="00C57784"/>
    <w:rsid w:val="00C602C1"/>
    <w:rsid w:val="00C63FC0"/>
    <w:rsid w:val="00C66392"/>
    <w:rsid w:val="00C73D09"/>
    <w:rsid w:val="00C74C5E"/>
    <w:rsid w:val="00C82558"/>
    <w:rsid w:val="00C827A2"/>
    <w:rsid w:val="00C82B69"/>
    <w:rsid w:val="00C82C8E"/>
    <w:rsid w:val="00C82CB3"/>
    <w:rsid w:val="00C875E8"/>
    <w:rsid w:val="00C91B28"/>
    <w:rsid w:val="00C91F3A"/>
    <w:rsid w:val="00C93590"/>
    <w:rsid w:val="00CA5446"/>
    <w:rsid w:val="00CB14E5"/>
    <w:rsid w:val="00CB218D"/>
    <w:rsid w:val="00CB5625"/>
    <w:rsid w:val="00CB5797"/>
    <w:rsid w:val="00CB7C90"/>
    <w:rsid w:val="00CC1C17"/>
    <w:rsid w:val="00CC4F7F"/>
    <w:rsid w:val="00CD09E1"/>
    <w:rsid w:val="00CE1780"/>
    <w:rsid w:val="00CE4913"/>
    <w:rsid w:val="00CE66BD"/>
    <w:rsid w:val="00CF0671"/>
    <w:rsid w:val="00CF247A"/>
    <w:rsid w:val="00CF44AD"/>
    <w:rsid w:val="00CF4D7C"/>
    <w:rsid w:val="00CF4FC0"/>
    <w:rsid w:val="00CF7486"/>
    <w:rsid w:val="00D1072F"/>
    <w:rsid w:val="00D108A5"/>
    <w:rsid w:val="00D14585"/>
    <w:rsid w:val="00D153C8"/>
    <w:rsid w:val="00D20EFF"/>
    <w:rsid w:val="00D31324"/>
    <w:rsid w:val="00D4386E"/>
    <w:rsid w:val="00D51432"/>
    <w:rsid w:val="00D53ED8"/>
    <w:rsid w:val="00D541A0"/>
    <w:rsid w:val="00D6295C"/>
    <w:rsid w:val="00D64857"/>
    <w:rsid w:val="00D6493A"/>
    <w:rsid w:val="00D649A5"/>
    <w:rsid w:val="00D66833"/>
    <w:rsid w:val="00D67875"/>
    <w:rsid w:val="00D71E86"/>
    <w:rsid w:val="00D731C6"/>
    <w:rsid w:val="00D745C5"/>
    <w:rsid w:val="00D75327"/>
    <w:rsid w:val="00D77D6B"/>
    <w:rsid w:val="00D80C36"/>
    <w:rsid w:val="00D81A32"/>
    <w:rsid w:val="00D86EE1"/>
    <w:rsid w:val="00D95E90"/>
    <w:rsid w:val="00D96126"/>
    <w:rsid w:val="00DA2FD5"/>
    <w:rsid w:val="00DB4B1C"/>
    <w:rsid w:val="00DB5085"/>
    <w:rsid w:val="00DB619F"/>
    <w:rsid w:val="00DB7211"/>
    <w:rsid w:val="00DC1062"/>
    <w:rsid w:val="00DC132C"/>
    <w:rsid w:val="00DC181A"/>
    <w:rsid w:val="00DC5727"/>
    <w:rsid w:val="00DD43F0"/>
    <w:rsid w:val="00DD44DE"/>
    <w:rsid w:val="00DE09AB"/>
    <w:rsid w:val="00DE352F"/>
    <w:rsid w:val="00DE4A3F"/>
    <w:rsid w:val="00DE5A99"/>
    <w:rsid w:val="00DF4367"/>
    <w:rsid w:val="00DF7291"/>
    <w:rsid w:val="00E0574A"/>
    <w:rsid w:val="00E1243D"/>
    <w:rsid w:val="00E12742"/>
    <w:rsid w:val="00E146D4"/>
    <w:rsid w:val="00E14815"/>
    <w:rsid w:val="00E21D37"/>
    <w:rsid w:val="00E220ED"/>
    <w:rsid w:val="00E22B44"/>
    <w:rsid w:val="00E30ACD"/>
    <w:rsid w:val="00E32735"/>
    <w:rsid w:val="00E34236"/>
    <w:rsid w:val="00E41AAE"/>
    <w:rsid w:val="00E44B88"/>
    <w:rsid w:val="00E66E36"/>
    <w:rsid w:val="00E702ED"/>
    <w:rsid w:val="00E709A4"/>
    <w:rsid w:val="00E75917"/>
    <w:rsid w:val="00E772DB"/>
    <w:rsid w:val="00E82967"/>
    <w:rsid w:val="00E86012"/>
    <w:rsid w:val="00E860CA"/>
    <w:rsid w:val="00E86BAB"/>
    <w:rsid w:val="00E92962"/>
    <w:rsid w:val="00E94E10"/>
    <w:rsid w:val="00E96743"/>
    <w:rsid w:val="00E96A42"/>
    <w:rsid w:val="00E97497"/>
    <w:rsid w:val="00EA49C5"/>
    <w:rsid w:val="00EA6279"/>
    <w:rsid w:val="00EB5027"/>
    <w:rsid w:val="00EC1836"/>
    <w:rsid w:val="00EC3990"/>
    <w:rsid w:val="00EC484B"/>
    <w:rsid w:val="00EC7E58"/>
    <w:rsid w:val="00ED15FA"/>
    <w:rsid w:val="00ED5C9F"/>
    <w:rsid w:val="00EE050C"/>
    <w:rsid w:val="00EE2113"/>
    <w:rsid w:val="00EE5730"/>
    <w:rsid w:val="00EE6E9A"/>
    <w:rsid w:val="00EF2AC4"/>
    <w:rsid w:val="00EF397E"/>
    <w:rsid w:val="00F0340C"/>
    <w:rsid w:val="00F06F68"/>
    <w:rsid w:val="00F11241"/>
    <w:rsid w:val="00F15E9D"/>
    <w:rsid w:val="00F2056C"/>
    <w:rsid w:val="00F23FA7"/>
    <w:rsid w:val="00F24C2D"/>
    <w:rsid w:val="00F27D59"/>
    <w:rsid w:val="00F316E1"/>
    <w:rsid w:val="00F32155"/>
    <w:rsid w:val="00F32A81"/>
    <w:rsid w:val="00F40C82"/>
    <w:rsid w:val="00F4197F"/>
    <w:rsid w:val="00F46998"/>
    <w:rsid w:val="00F5382D"/>
    <w:rsid w:val="00F53D9C"/>
    <w:rsid w:val="00F5462B"/>
    <w:rsid w:val="00F54653"/>
    <w:rsid w:val="00F569DE"/>
    <w:rsid w:val="00F57205"/>
    <w:rsid w:val="00F634AD"/>
    <w:rsid w:val="00F63677"/>
    <w:rsid w:val="00F70658"/>
    <w:rsid w:val="00F75B81"/>
    <w:rsid w:val="00F761CA"/>
    <w:rsid w:val="00F804C4"/>
    <w:rsid w:val="00F80C7E"/>
    <w:rsid w:val="00F82F83"/>
    <w:rsid w:val="00F90C64"/>
    <w:rsid w:val="00F9210C"/>
    <w:rsid w:val="00F92B30"/>
    <w:rsid w:val="00F933B9"/>
    <w:rsid w:val="00F94674"/>
    <w:rsid w:val="00F94919"/>
    <w:rsid w:val="00F94A59"/>
    <w:rsid w:val="00FA25B6"/>
    <w:rsid w:val="00FA2FAF"/>
    <w:rsid w:val="00FA54F6"/>
    <w:rsid w:val="00FA64B1"/>
    <w:rsid w:val="00FA70F3"/>
    <w:rsid w:val="00FA71CD"/>
    <w:rsid w:val="00FB0453"/>
    <w:rsid w:val="00FB0C07"/>
    <w:rsid w:val="00FB298D"/>
    <w:rsid w:val="00FB3171"/>
    <w:rsid w:val="00FB444E"/>
    <w:rsid w:val="00FC1439"/>
    <w:rsid w:val="00FC3F65"/>
    <w:rsid w:val="00FC5007"/>
    <w:rsid w:val="00FC724B"/>
    <w:rsid w:val="00FC7910"/>
    <w:rsid w:val="00FD01E0"/>
    <w:rsid w:val="00FD50FC"/>
    <w:rsid w:val="00FE1627"/>
    <w:rsid w:val="00FE2D4E"/>
    <w:rsid w:val="00FF092F"/>
    <w:rsid w:val="00FF0DA7"/>
    <w:rsid w:val="00FF44E0"/>
    <w:rsid w:val="00FF6C72"/>
    <w:rsid w:val="051F0693"/>
    <w:rsid w:val="0670620B"/>
    <w:rsid w:val="0ABE4F93"/>
    <w:rsid w:val="0BF111DF"/>
    <w:rsid w:val="10F07DAD"/>
    <w:rsid w:val="11121264"/>
    <w:rsid w:val="134C463A"/>
    <w:rsid w:val="13730A68"/>
    <w:rsid w:val="14C5277F"/>
    <w:rsid w:val="16E822B4"/>
    <w:rsid w:val="17475CF0"/>
    <w:rsid w:val="17971519"/>
    <w:rsid w:val="183E2050"/>
    <w:rsid w:val="19214590"/>
    <w:rsid w:val="1AFA4C10"/>
    <w:rsid w:val="1B1A62A3"/>
    <w:rsid w:val="1E4B2EF3"/>
    <w:rsid w:val="1F717DE9"/>
    <w:rsid w:val="23CD3297"/>
    <w:rsid w:val="23D139A2"/>
    <w:rsid w:val="27E85AF1"/>
    <w:rsid w:val="28665E9B"/>
    <w:rsid w:val="2CF976E5"/>
    <w:rsid w:val="2D0253A9"/>
    <w:rsid w:val="2D1633EB"/>
    <w:rsid w:val="2D9727D3"/>
    <w:rsid w:val="2ECD25BA"/>
    <w:rsid w:val="33877CC6"/>
    <w:rsid w:val="33B8719F"/>
    <w:rsid w:val="3B8121BD"/>
    <w:rsid w:val="3E4E4E6A"/>
    <w:rsid w:val="3E6A7AB7"/>
    <w:rsid w:val="3EF75BC6"/>
    <w:rsid w:val="3F3660E9"/>
    <w:rsid w:val="41A12DB2"/>
    <w:rsid w:val="41AE4A2A"/>
    <w:rsid w:val="43A813CB"/>
    <w:rsid w:val="46E330B1"/>
    <w:rsid w:val="4B767B14"/>
    <w:rsid w:val="4C973386"/>
    <w:rsid w:val="52DD0026"/>
    <w:rsid w:val="53224B50"/>
    <w:rsid w:val="537D528F"/>
    <w:rsid w:val="5579129D"/>
    <w:rsid w:val="56055DCF"/>
    <w:rsid w:val="5740292B"/>
    <w:rsid w:val="5809250B"/>
    <w:rsid w:val="5C74325C"/>
    <w:rsid w:val="5D864194"/>
    <w:rsid w:val="61C2793D"/>
    <w:rsid w:val="6338251F"/>
    <w:rsid w:val="63812258"/>
    <w:rsid w:val="64317FA5"/>
    <w:rsid w:val="648D7D30"/>
    <w:rsid w:val="656F25BA"/>
    <w:rsid w:val="677A377D"/>
    <w:rsid w:val="680D00C1"/>
    <w:rsid w:val="6BFE70D7"/>
    <w:rsid w:val="6EC428A1"/>
    <w:rsid w:val="73563420"/>
    <w:rsid w:val="74EE3E2D"/>
    <w:rsid w:val="74FC2405"/>
    <w:rsid w:val="751824B5"/>
    <w:rsid w:val="799B26EC"/>
    <w:rsid w:val="7AB92EC7"/>
    <w:rsid w:val="7B5E79FE"/>
    <w:rsid w:val="7C073499"/>
    <w:rsid w:val="7CD249D8"/>
    <w:rsid w:val="7E8F2BCB"/>
    <w:rsid w:val="7FADAFDB"/>
    <w:rsid w:val="7FFA50E3"/>
    <w:rsid w:val="BC5B7F22"/>
    <w:rsid w:val="FFC7AA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仿宋_GB2312" w:eastAsia="@仿宋_GB2312" w:cs="@仿宋_GB2312"/>
      <w:kern w:val="2"/>
      <w:sz w:val="21"/>
      <w:lang w:val="en-US" w:eastAsia="zh-CN" w:bidi="ar-SA"/>
    </w:rPr>
  </w:style>
  <w:style w:type="paragraph" w:styleId="3">
    <w:name w:val="heading 1"/>
    <w:basedOn w:val="1"/>
    <w:next w:val="1"/>
    <w:link w:val="43"/>
    <w:qFormat/>
    <w:uiPriority w:val="9"/>
    <w:pPr>
      <w:keepNext/>
      <w:keepLines/>
      <w:spacing w:before="340" w:after="330" w:line="578" w:lineRule="auto"/>
      <w:outlineLvl w:val="0"/>
    </w:pPr>
    <w:rPr>
      <w:b/>
      <w:bCs/>
      <w:kern w:val="44"/>
      <w:sz w:val="44"/>
      <w:szCs w:val="44"/>
    </w:rPr>
  </w:style>
  <w:style w:type="paragraph" w:styleId="4">
    <w:name w:val="heading 3"/>
    <w:basedOn w:val="1"/>
    <w:next w:val="1"/>
    <w:link w:val="45"/>
    <w:semiHidden/>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50"/>
    <w:qFormat/>
    <w:uiPriority w:val="0"/>
    <w:pPr>
      <w:keepNext/>
      <w:keepLines/>
      <w:spacing w:before="280" w:after="290" w:line="376" w:lineRule="auto"/>
      <w:outlineLvl w:val="3"/>
    </w:pPr>
    <w:rPr>
      <w:b/>
      <w:bCs/>
      <w:sz w:val="28"/>
      <w:szCs w:val="28"/>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autoSpaceDE w:val="0"/>
      <w:autoSpaceDN w:val="0"/>
      <w:adjustRightInd w:val="0"/>
      <w:ind w:firstLine="420"/>
      <w:jc w:val="left"/>
    </w:pPr>
    <w:rPr>
      <w:rFonts w:ascii="宋体" w:hAnsi="Times New Roman" w:eastAsia="宋体" w:cs="Times New Roman"/>
      <w:kern w:val="0"/>
      <w:sz w:val="24"/>
    </w:rPr>
  </w:style>
  <w:style w:type="paragraph" w:styleId="6">
    <w:name w:val="annotation text"/>
    <w:basedOn w:val="1"/>
    <w:link w:val="42"/>
    <w:qFormat/>
    <w:uiPriority w:val="0"/>
    <w:pPr>
      <w:jc w:val="left"/>
    </w:pPr>
    <w:rPr>
      <w:rFonts w:ascii="Arial" w:hAnsi="Arial" w:eastAsia="黑体" w:cs="Arial"/>
    </w:rPr>
  </w:style>
  <w:style w:type="paragraph" w:styleId="7">
    <w:name w:val="Body Text"/>
    <w:basedOn w:val="1"/>
    <w:link w:val="51"/>
    <w:qFormat/>
    <w:uiPriority w:val="0"/>
    <w:pPr>
      <w:spacing w:after="120"/>
    </w:pPr>
    <w:rPr>
      <w:rFonts w:ascii="@微软简标宋" w:hAnsi="@微软简标宋" w:eastAsia="@微软简标宋" w:cs="@微软简标宋"/>
      <w:szCs w:val="24"/>
      <w:lang w:val="zh-CN"/>
    </w:rPr>
  </w:style>
  <w:style w:type="paragraph" w:styleId="8">
    <w:name w:val="Body Text Indent"/>
    <w:basedOn w:val="1"/>
    <w:unhideWhenUsed/>
    <w:qFormat/>
    <w:uiPriority w:val="99"/>
    <w:pPr>
      <w:spacing w:after="120"/>
      <w:ind w:left="420" w:leftChars="200"/>
    </w:pPr>
  </w:style>
  <w:style w:type="paragraph" w:styleId="9">
    <w:name w:val="toc 3"/>
    <w:basedOn w:val="1"/>
    <w:next w:val="1"/>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0">
    <w:name w:val="Plain Text"/>
    <w:basedOn w:val="1"/>
    <w:link w:val="32"/>
    <w:qFormat/>
    <w:uiPriority w:val="99"/>
    <w:rPr>
      <w:rFonts w:ascii="宋体" w:hAnsi="Courier New" w:eastAsiaTheme="minorEastAsia" w:cstheme="minorBidi"/>
      <w:szCs w:val="22"/>
    </w:rPr>
  </w:style>
  <w:style w:type="paragraph" w:styleId="11">
    <w:name w:val="Date"/>
    <w:basedOn w:val="1"/>
    <w:next w:val="1"/>
    <w:link w:val="39"/>
    <w:qFormat/>
    <w:uiPriority w:val="0"/>
    <w:rPr>
      <w:rFonts w:ascii="Arial" w:hAnsi="Arial" w:eastAsia="宋体" w:cs="Arial"/>
      <w:b/>
      <w:sz w:val="28"/>
    </w:rPr>
  </w:style>
  <w:style w:type="paragraph" w:styleId="12">
    <w:name w:val="Balloon Text"/>
    <w:basedOn w:val="1"/>
    <w:link w:val="26"/>
    <w:semiHidden/>
    <w:unhideWhenUsed/>
    <w:qFormat/>
    <w:uiPriority w:val="99"/>
    <w:rPr>
      <w:sz w:val="18"/>
      <w:szCs w:val="18"/>
    </w:rPr>
  </w:style>
  <w:style w:type="paragraph" w:styleId="13">
    <w:name w:val="footer"/>
    <w:basedOn w:val="1"/>
    <w:link w:val="31"/>
    <w:unhideWhenUsed/>
    <w:qFormat/>
    <w:uiPriority w:val="99"/>
    <w:pPr>
      <w:tabs>
        <w:tab w:val="center" w:pos="4153"/>
        <w:tab w:val="right" w:pos="8306"/>
      </w:tabs>
      <w:snapToGrid w:val="0"/>
      <w:jc w:val="left"/>
    </w:pPr>
    <w:rPr>
      <w:sz w:val="18"/>
      <w:szCs w:val="18"/>
    </w:rPr>
  </w:style>
  <w:style w:type="paragraph" w:styleId="14">
    <w:name w:val="header"/>
    <w:basedOn w:val="1"/>
    <w:link w:val="30"/>
    <w:unhideWhenUsed/>
    <w:qFormat/>
    <w:uiPriority w:val="0"/>
    <w:pPr>
      <w:pBdr>
        <w:bottom w:val="single" w:color="auto" w:sz="6" w:space="1"/>
      </w:pBdr>
      <w:tabs>
        <w:tab w:val="center" w:pos="4153"/>
        <w:tab w:val="right" w:pos="8306"/>
      </w:tabs>
      <w:snapToGrid w:val="0"/>
      <w:jc w:val="center"/>
    </w:pPr>
    <w:rPr>
      <w:sz w:val="18"/>
      <w:szCs w:val="18"/>
    </w:rPr>
  </w:style>
  <w:style w:type="paragraph" w:styleId="15">
    <w:name w:val="toc 1"/>
    <w:basedOn w:val="1"/>
    <w:next w:val="1"/>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16">
    <w:name w:val="toc 2"/>
    <w:basedOn w:val="1"/>
    <w:next w:val="1"/>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17">
    <w:name w:val="index 1"/>
    <w:basedOn w:val="1"/>
    <w:next w:val="1"/>
    <w:qFormat/>
    <w:uiPriority w:val="0"/>
    <w:pPr>
      <w:jc w:val="center"/>
    </w:pPr>
    <w:rPr>
      <w:rFonts w:ascii="Arial" w:hAnsi="Arial" w:eastAsia="Arial" w:cs="Arial"/>
      <w:b/>
      <w:bCs/>
      <w:sz w:val="28"/>
    </w:rPr>
  </w:style>
  <w:style w:type="paragraph" w:styleId="18">
    <w:name w:val="Body Text First Indent"/>
    <w:basedOn w:val="7"/>
    <w:unhideWhenUsed/>
    <w:qFormat/>
    <w:uiPriority w:val="99"/>
    <w:pPr>
      <w:ind w:firstLine="420" w:firstLineChars="100"/>
    </w:pPr>
  </w:style>
  <w:style w:type="paragraph" w:styleId="19">
    <w:name w:val="Body Text First Indent 2"/>
    <w:basedOn w:val="8"/>
    <w:unhideWhenUsed/>
    <w:qFormat/>
    <w:uiPriority w:val="0"/>
    <w:pPr>
      <w:ind w:firstLine="420" w:firstLineChars="200"/>
    </w:pPr>
    <w:rPr>
      <w:rFonts w:ascii="Times New Roman" w:hAnsi="Times New Roman" w:eastAsia="宋体" w:cs="Times New Roman"/>
      <w:szCs w:val="24"/>
    </w:rPr>
  </w:style>
  <w:style w:type="table" w:styleId="21">
    <w:name w:val="Table Grid"/>
    <w:basedOn w:val="20"/>
    <w:unhideWhenUsed/>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qFormat/>
    <w:uiPriority w:val="0"/>
    <w:rPr>
      <w:b/>
      <w:bCs/>
    </w:rPr>
  </w:style>
  <w:style w:type="character" w:styleId="24">
    <w:name w:val="Hyperlink"/>
    <w:basedOn w:val="22"/>
    <w:unhideWhenUsed/>
    <w:qFormat/>
    <w:uiPriority w:val="99"/>
    <w:rPr>
      <w:color w:val="0000FF" w:themeColor="hyperlink"/>
      <w:u w:val="single"/>
      <w14:textFill>
        <w14:solidFill>
          <w14:schemeClr w14:val="hlink"/>
        </w14:solidFill>
      </w14:textFill>
    </w:rPr>
  </w:style>
  <w:style w:type="character" w:customStyle="1" w:styleId="25">
    <w:name w:val="批注文字 Char"/>
    <w:basedOn w:val="22"/>
    <w:semiHidden/>
    <w:qFormat/>
    <w:uiPriority w:val="99"/>
    <w:rPr>
      <w:rFonts w:ascii="@仿宋_GB2312" w:hAnsi="@仿宋_GB2312" w:eastAsia="@仿宋_GB2312" w:cs="@仿宋_GB2312"/>
      <w:szCs w:val="20"/>
    </w:rPr>
  </w:style>
  <w:style w:type="character" w:customStyle="1" w:styleId="26">
    <w:name w:val="批注框文本 Char"/>
    <w:basedOn w:val="22"/>
    <w:link w:val="12"/>
    <w:semiHidden/>
    <w:qFormat/>
    <w:uiPriority w:val="99"/>
    <w:rPr>
      <w:rFonts w:ascii="@仿宋_GB2312" w:hAnsi="@仿宋_GB2312" w:eastAsia="@仿宋_GB2312" w:cs="@仿宋_GB2312"/>
      <w:sz w:val="18"/>
      <w:szCs w:val="18"/>
    </w:rPr>
  </w:style>
  <w:style w:type="paragraph" w:customStyle="1" w:styleId="27">
    <w:name w:val="正文（缩进）"/>
    <w:basedOn w:val="1"/>
    <w:qFormat/>
    <w:uiPriority w:val="0"/>
    <w:pPr>
      <w:widowControl/>
      <w:spacing w:before="156" w:after="156"/>
      <w:ind w:firstLine="480" w:firstLineChars="200"/>
      <w:jc w:val="left"/>
    </w:pPr>
    <w:rPr>
      <w:kern w:val="0"/>
      <w:sz w:val="24"/>
      <w:szCs w:val="24"/>
    </w:rPr>
  </w:style>
  <w:style w:type="paragraph" w:customStyle="1" w:styleId="28">
    <w:name w:val="xl31"/>
    <w:basedOn w:val="1"/>
    <w:qFormat/>
    <w:uiPriority w:val="0"/>
    <w:pPr>
      <w:widowControl/>
      <w:spacing w:before="100" w:beforeAutospacing="1" w:after="100" w:afterAutospacing="1"/>
      <w:jc w:val="center"/>
    </w:pPr>
    <w:rPr>
      <w:b/>
      <w:bCs/>
      <w:kern w:val="0"/>
      <w:sz w:val="28"/>
      <w:szCs w:val="28"/>
    </w:rPr>
  </w:style>
  <w:style w:type="paragraph" w:customStyle="1" w:styleId="29">
    <w:name w:val="D&amp;L"/>
    <w:basedOn w:val="14"/>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0">
    <w:name w:val="页眉 Char"/>
    <w:basedOn w:val="22"/>
    <w:link w:val="14"/>
    <w:qFormat/>
    <w:uiPriority w:val="0"/>
    <w:rPr>
      <w:rFonts w:ascii="@仿宋_GB2312" w:hAnsi="@仿宋_GB2312" w:eastAsia="@仿宋_GB2312" w:cs="@仿宋_GB2312"/>
      <w:sz w:val="18"/>
      <w:szCs w:val="18"/>
    </w:rPr>
  </w:style>
  <w:style w:type="character" w:customStyle="1" w:styleId="31">
    <w:name w:val="页脚 Char"/>
    <w:basedOn w:val="22"/>
    <w:link w:val="13"/>
    <w:qFormat/>
    <w:uiPriority w:val="99"/>
    <w:rPr>
      <w:rFonts w:ascii="@仿宋_GB2312" w:hAnsi="@仿宋_GB2312" w:eastAsia="@仿宋_GB2312" w:cs="@仿宋_GB2312"/>
      <w:sz w:val="18"/>
      <w:szCs w:val="18"/>
    </w:rPr>
  </w:style>
  <w:style w:type="character" w:customStyle="1" w:styleId="32">
    <w:name w:val="纯文本 Char"/>
    <w:link w:val="10"/>
    <w:qFormat/>
    <w:uiPriority w:val="0"/>
    <w:rPr>
      <w:rFonts w:ascii="宋体" w:hAnsi="Courier New"/>
    </w:rPr>
  </w:style>
  <w:style w:type="character" w:customStyle="1" w:styleId="33">
    <w:name w:val="纯文本 字符1"/>
    <w:basedOn w:val="22"/>
    <w:semiHidden/>
    <w:qFormat/>
    <w:uiPriority w:val="99"/>
    <w:rPr>
      <w:rFonts w:hAnsi="Courier New" w:cs="Courier New" w:asciiTheme="minorEastAsia"/>
      <w:szCs w:val="20"/>
    </w:rPr>
  </w:style>
  <w:style w:type="character" w:customStyle="1" w:styleId="34">
    <w:name w:val="未处理的提及1"/>
    <w:basedOn w:val="22"/>
    <w:semiHidden/>
    <w:unhideWhenUsed/>
    <w:qFormat/>
    <w:uiPriority w:val="99"/>
    <w:rPr>
      <w:color w:val="605E5C"/>
      <w:shd w:val="clear" w:color="auto" w:fill="E1DFDD"/>
    </w:rPr>
  </w:style>
  <w:style w:type="paragraph" w:styleId="35">
    <w:name w:val="List Paragraph"/>
    <w:basedOn w:val="1"/>
    <w:qFormat/>
    <w:uiPriority w:val="34"/>
    <w:pPr>
      <w:ind w:firstLine="420" w:firstLineChars="200"/>
    </w:pPr>
  </w:style>
  <w:style w:type="paragraph" w:customStyle="1" w:styleId="36">
    <w:name w:val="Char Char Char Char Char Char Char1 Char"/>
    <w:basedOn w:val="1"/>
    <w:qFormat/>
    <w:uiPriority w:val="0"/>
    <w:rPr>
      <w:rFonts w:ascii="Arial" w:hAnsi="Arial" w:eastAsia="宋体" w:cs="Arial"/>
      <w:sz w:val="24"/>
    </w:rPr>
  </w:style>
  <w:style w:type="table" w:customStyle="1" w:styleId="37">
    <w:name w:val="网格表 1 浅色1"/>
    <w:basedOn w:val="20"/>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CellMar>
        <w:top w:w="0" w:type="dxa"/>
        <w:left w:w="108" w:type="dxa"/>
        <w:bottom w:w="0" w:type="dxa"/>
        <w:right w:w="108" w:type="dxa"/>
      </w:tblCellMar>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38">
    <w:name w:val="日期 字符"/>
    <w:basedOn w:val="22"/>
    <w:semiHidden/>
    <w:qFormat/>
    <w:uiPriority w:val="99"/>
    <w:rPr>
      <w:rFonts w:ascii="@仿宋_GB2312" w:hAnsi="@仿宋_GB2312" w:eastAsia="@仿宋_GB2312" w:cs="@仿宋_GB2312"/>
      <w:szCs w:val="20"/>
    </w:rPr>
  </w:style>
  <w:style w:type="character" w:customStyle="1" w:styleId="39">
    <w:name w:val="日期 Char"/>
    <w:link w:val="11"/>
    <w:qFormat/>
    <w:uiPriority w:val="0"/>
    <w:rPr>
      <w:rFonts w:ascii="Arial" w:hAnsi="Arial" w:eastAsia="宋体" w:cs="Arial"/>
      <w:b/>
      <w:sz w:val="28"/>
      <w:szCs w:val="20"/>
    </w:rPr>
  </w:style>
  <w:style w:type="character" w:customStyle="1" w:styleId="40">
    <w:name w:val="纯文本 Char1"/>
    <w:link w:val="41"/>
    <w:qFormat/>
    <w:locked/>
    <w:uiPriority w:val="0"/>
    <w:rPr>
      <w:rFonts w:ascii="Arial" w:hAnsi="Arial" w:eastAsia="Arial"/>
      <w:kern w:val="2"/>
      <w:sz w:val="21"/>
      <w:lang w:val="en-US" w:eastAsia="zh-CN" w:bidi="ar-SA"/>
    </w:rPr>
  </w:style>
  <w:style w:type="paragraph" w:customStyle="1" w:styleId="41">
    <w:name w:val="纯文本1"/>
    <w:basedOn w:val="1"/>
    <w:link w:val="40"/>
    <w:qFormat/>
    <w:uiPriority w:val="0"/>
    <w:rPr>
      <w:rFonts w:ascii="Arial" w:hAnsi="Arial" w:eastAsia="Arial" w:cstheme="minorBidi"/>
    </w:rPr>
  </w:style>
  <w:style w:type="character" w:customStyle="1" w:styleId="42">
    <w:name w:val="批注文字 Char1"/>
    <w:link w:val="6"/>
    <w:qFormat/>
    <w:uiPriority w:val="0"/>
    <w:rPr>
      <w:rFonts w:ascii="Arial" w:hAnsi="Arial" w:eastAsia="黑体" w:cs="Arial"/>
      <w:szCs w:val="20"/>
    </w:rPr>
  </w:style>
  <w:style w:type="character" w:customStyle="1" w:styleId="43">
    <w:name w:val="标题 1 Char"/>
    <w:basedOn w:val="22"/>
    <w:link w:val="3"/>
    <w:qFormat/>
    <w:uiPriority w:val="9"/>
    <w:rPr>
      <w:rFonts w:ascii="@仿宋_GB2312" w:hAnsi="@仿宋_GB2312" w:eastAsia="@仿宋_GB2312" w:cs="@仿宋_GB2312"/>
      <w:b/>
      <w:bCs/>
      <w:kern w:val="44"/>
      <w:sz w:val="44"/>
      <w:szCs w:val="44"/>
    </w:rPr>
  </w:style>
  <w:style w:type="paragraph" w:customStyle="1" w:styleId="44">
    <w:name w:val="TOC 标题1"/>
    <w:basedOn w:val="3"/>
    <w:next w:val="1"/>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45">
    <w:name w:val="标题 3 Char"/>
    <w:basedOn w:val="22"/>
    <w:link w:val="4"/>
    <w:semiHidden/>
    <w:qFormat/>
    <w:uiPriority w:val="9"/>
    <w:rPr>
      <w:rFonts w:ascii="@仿宋_GB2312" w:hAnsi="@仿宋_GB2312" w:eastAsia="@仿宋_GB2312" w:cs="@仿宋_GB2312"/>
      <w:b/>
      <w:bCs/>
      <w:sz w:val="32"/>
      <w:szCs w:val="32"/>
    </w:rPr>
  </w:style>
  <w:style w:type="character" w:customStyle="1" w:styleId="46">
    <w:name w:val="fontstyle01"/>
    <w:basedOn w:val="22"/>
    <w:qFormat/>
    <w:uiPriority w:val="0"/>
    <w:rPr>
      <w:rFonts w:hint="eastAsia" w:ascii="宋体" w:hAnsi="宋体" w:eastAsia="宋体"/>
      <w:color w:val="000000"/>
      <w:sz w:val="22"/>
      <w:szCs w:val="22"/>
    </w:rPr>
  </w:style>
  <w:style w:type="character" w:customStyle="1" w:styleId="47">
    <w:name w:val="fontstyle21"/>
    <w:basedOn w:val="22"/>
    <w:qFormat/>
    <w:uiPriority w:val="0"/>
    <w:rPr>
      <w:rFonts w:hint="default" w:ascii="TimesNewRomanPSMT" w:hAnsi="TimesNewRomanPSMT"/>
      <w:color w:val="000000"/>
      <w:sz w:val="22"/>
      <w:szCs w:val="22"/>
    </w:rPr>
  </w:style>
  <w:style w:type="character" w:customStyle="1" w:styleId="48">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49">
    <w:name w:val="标题 4 字符"/>
    <w:basedOn w:val="22"/>
    <w:semiHidden/>
    <w:qFormat/>
    <w:uiPriority w:val="9"/>
    <w:rPr>
      <w:rFonts w:asciiTheme="majorHAnsi" w:hAnsiTheme="majorHAnsi" w:eastAsiaTheme="majorEastAsia" w:cstheme="majorBidi"/>
      <w:b/>
      <w:bCs/>
      <w:sz w:val="28"/>
      <w:szCs w:val="28"/>
    </w:rPr>
  </w:style>
  <w:style w:type="character" w:customStyle="1" w:styleId="50">
    <w:name w:val="标题 4 Char"/>
    <w:link w:val="2"/>
    <w:qFormat/>
    <w:uiPriority w:val="0"/>
    <w:rPr>
      <w:rFonts w:ascii="@仿宋_GB2312" w:hAnsi="@仿宋_GB2312" w:eastAsia="@仿宋_GB2312" w:cs="@仿宋_GB2312"/>
      <w:b/>
      <w:bCs/>
      <w:sz w:val="28"/>
      <w:szCs w:val="28"/>
    </w:rPr>
  </w:style>
  <w:style w:type="character" w:customStyle="1" w:styleId="51">
    <w:name w:val="正文文本 Char"/>
    <w:basedOn w:val="22"/>
    <w:link w:val="7"/>
    <w:qFormat/>
    <w:uiPriority w:val="0"/>
    <w:rPr>
      <w:rFonts w:ascii="@微软简标宋" w:hAnsi="@微软简标宋" w:eastAsia="@微软简标宋" w:cs="@微软简标宋"/>
      <w:szCs w:val="24"/>
      <w:lang w:val="zh-CN" w:eastAsia="zh-CN"/>
    </w:rPr>
  </w:style>
  <w:style w:type="table" w:customStyle="1" w:styleId="52">
    <w:name w:val="网格型1"/>
    <w:basedOn w:val="20"/>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3">
    <w:name w:val="首行缩进"/>
    <w:basedOn w:val="1"/>
    <w:qFormat/>
    <w:uiPriority w:val="0"/>
    <w:pPr>
      <w:spacing w:line="360" w:lineRule="auto"/>
      <w:ind w:firstLine="480" w:firstLineChars="200"/>
    </w:pPr>
    <w:rPr>
      <w:rFonts w:ascii="宋体" w:hAnsi="宋体" w:cs="宋体"/>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akoosky</Company>
  <Pages>69</Pages>
  <Words>12978</Words>
  <Characters>13795</Characters>
  <Lines>202</Lines>
  <Paragraphs>57</Paragraphs>
  <TotalTime>232</TotalTime>
  <ScaleCrop>false</ScaleCrop>
  <LinksUpToDate>false</LinksUpToDate>
  <CharactersWithSpaces>14025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2019-05-07T06:32:00Z</dcterms:created>
  <dc:creator>Anakin</dc:creator>
  <cp:lastModifiedBy>陶淑敏</cp:lastModifiedBy>
  <cp:lastPrinted>2019-12-08T07:20:00Z</cp:lastPrinted>
  <dcterms:modified xsi:type="dcterms:W3CDTF">2025-01-10T06:37:45Z</dcterms:modified>
  <cp:revision>431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076FE27002B14D1EA1D3EDE4F7381EF8_13</vt:lpwstr>
  </property>
  <property fmtid="{D5CDD505-2E9C-101B-9397-08002B2CF9AE}" pid="4" name="KSOTemplateDocerSaveRecord">
    <vt:lpwstr>eyJoZGlkIjoiMzRhZmJmZmU3MzFkZmJhNmRhMWFiMjM5YTVmMWQ2NWUiLCJ1c2VySWQiOiI3NjM4NjYzIn0=</vt:lpwstr>
  </property>
</Properties>
</file>